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537" w:rsidRPr="00032537" w:rsidRDefault="00BE2F9E" w:rsidP="00032537">
      <w:pPr>
        <w:pStyle w:val="a8"/>
        <w:spacing w:line="0" w:lineRule="atLeast"/>
        <w:ind w:right="-1"/>
        <w:jc w:val="center"/>
        <w:rPr>
          <w:rFonts w:ascii="標楷體" w:eastAsia="標楷體" w:hAnsi="標楷體"/>
          <w:b/>
          <w:spacing w:val="-8"/>
          <w:sz w:val="28"/>
          <w:szCs w:val="28"/>
        </w:rPr>
      </w:pPr>
      <w:bookmarkStart w:id="0" w:name="_GoBack"/>
      <w:bookmarkEnd w:id="0"/>
      <w:r>
        <w:rPr>
          <w:rFonts w:ascii="標楷體" w:eastAsia="標楷體" w:hAnsi="標楷體" w:hint="eastAsia"/>
          <w:b/>
          <w:spacing w:val="120"/>
          <w:sz w:val="28"/>
          <w:u w:val="words"/>
        </w:rPr>
        <w:t>國立東華大學</w:t>
      </w:r>
      <w:r w:rsidR="00032537" w:rsidRPr="00032537">
        <w:rPr>
          <w:rFonts w:ascii="標楷體" w:eastAsia="標楷體" w:hAnsi="標楷體" w:hint="eastAsia"/>
          <w:b/>
          <w:spacing w:val="120"/>
          <w:sz w:val="28"/>
          <w:u w:val="words"/>
        </w:rPr>
        <w:t>校務基金</w:t>
      </w:r>
    </w:p>
    <w:p w:rsidR="00E75664" w:rsidRPr="00063F17" w:rsidRDefault="00032537" w:rsidP="00032537">
      <w:pPr>
        <w:pStyle w:val="a8"/>
        <w:spacing w:line="0" w:lineRule="atLeast"/>
        <w:ind w:right="-1"/>
        <w:jc w:val="center"/>
        <w:rPr>
          <w:rFonts w:ascii="標楷體" w:eastAsia="標楷體" w:hAnsi="標楷體"/>
          <w:b/>
          <w:sz w:val="28"/>
        </w:rPr>
      </w:pPr>
      <w:r w:rsidRPr="004C179E">
        <w:rPr>
          <w:rFonts w:ascii="標楷體" w:eastAsia="標楷體" w:hAnsi="標楷體" w:hint="eastAsia"/>
          <w:b/>
          <w:spacing w:val="-8"/>
          <w:sz w:val="28"/>
          <w:szCs w:val="28"/>
        </w:rPr>
        <w:t>立法院審議中央政府總預算案附屬單位預算所提決議及附帶決議辦理情形報告表</w:t>
      </w:r>
    </w:p>
    <w:p w:rsidR="00835609" w:rsidRPr="00063F17" w:rsidRDefault="00E75664" w:rsidP="00E75664">
      <w:pPr>
        <w:jc w:val="center"/>
        <w:rPr>
          <w:rFonts w:ascii="標楷體" w:eastAsia="標楷體" w:hAnsi="標楷體"/>
          <w:b/>
        </w:rPr>
      </w:pPr>
      <w:r w:rsidRPr="00063F17">
        <w:rPr>
          <w:rFonts w:ascii="標楷體" w:eastAsia="標楷體" w:hAnsi="標楷體" w:hint="eastAsia"/>
          <w:b/>
        </w:rPr>
        <w:t>中華民國　103　年度</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4778"/>
        <w:gridCol w:w="4394"/>
      </w:tblGrid>
      <w:tr w:rsidR="00063F17" w:rsidRPr="00063F17" w:rsidTr="004963E1">
        <w:trPr>
          <w:trHeight w:val="552"/>
          <w:tblHeader/>
        </w:trPr>
        <w:tc>
          <w:tcPr>
            <w:tcW w:w="5495" w:type="dxa"/>
            <w:gridSpan w:val="2"/>
            <w:shd w:val="clear" w:color="auto" w:fill="auto"/>
            <w:vAlign w:val="center"/>
          </w:tcPr>
          <w:p w:rsidR="00E75664" w:rsidRPr="00063F17" w:rsidRDefault="00E75664" w:rsidP="009A0B19">
            <w:pPr>
              <w:spacing w:line="0" w:lineRule="atLeast"/>
              <w:jc w:val="center"/>
              <w:rPr>
                <w:rFonts w:ascii="標楷體" w:eastAsia="標楷體" w:hAnsi="標楷體"/>
                <w:szCs w:val="24"/>
              </w:rPr>
            </w:pPr>
            <w:r w:rsidRPr="00063F17">
              <w:rPr>
                <w:rFonts w:ascii="標楷體" w:eastAsia="標楷體" w:hAnsi="標楷體"/>
                <w:szCs w:val="24"/>
              </w:rPr>
              <w:t>決議</w:t>
            </w:r>
            <w:r w:rsidR="009A0B19">
              <w:rPr>
                <w:rFonts w:ascii="標楷體" w:eastAsia="標楷體" w:hAnsi="標楷體" w:hint="eastAsia"/>
                <w:szCs w:val="24"/>
              </w:rPr>
              <w:t>及</w:t>
            </w:r>
            <w:r w:rsidRPr="00063F17">
              <w:rPr>
                <w:rFonts w:ascii="標楷體" w:eastAsia="標楷體" w:hAnsi="標楷體"/>
                <w:szCs w:val="24"/>
              </w:rPr>
              <w:t>附帶決議</w:t>
            </w:r>
          </w:p>
        </w:tc>
        <w:tc>
          <w:tcPr>
            <w:tcW w:w="4394" w:type="dxa"/>
            <w:vMerge w:val="restart"/>
            <w:shd w:val="clear" w:color="auto" w:fill="auto"/>
            <w:vAlign w:val="center"/>
          </w:tcPr>
          <w:p w:rsidR="00E75664" w:rsidRPr="00063F17" w:rsidRDefault="00887A99" w:rsidP="00D403AE">
            <w:pPr>
              <w:ind w:leftChars="-25" w:left="-60"/>
              <w:jc w:val="center"/>
              <w:rPr>
                <w:rFonts w:ascii="標楷體" w:eastAsia="標楷體" w:hAnsi="標楷體"/>
                <w:szCs w:val="24"/>
              </w:rPr>
            </w:pPr>
            <w:r>
              <w:rPr>
                <w:rFonts w:ascii="標楷體" w:eastAsia="標楷體" w:hAnsi="標楷體" w:hint="eastAsia"/>
                <w:szCs w:val="24"/>
              </w:rPr>
              <w:t>辦理情形</w:t>
            </w:r>
          </w:p>
        </w:tc>
      </w:tr>
      <w:tr w:rsidR="00063F17" w:rsidRPr="00063F17" w:rsidTr="004963E1">
        <w:trPr>
          <w:trHeight w:val="518"/>
          <w:tblHeader/>
        </w:trPr>
        <w:tc>
          <w:tcPr>
            <w:tcW w:w="717" w:type="dxa"/>
            <w:shd w:val="clear" w:color="auto" w:fill="auto"/>
            <w:vAlign w:val="center"/>
          </w:tcPr>
          <w:p w:rsidR="00E75664" w:rsidRPr="00063F17" w:rsidRDefault="00E75664" w:rsidP="009D1272">
            <w:pPr>
              <w:spacing w:line="0" w:lineRule="atLeast"/>
              <w:jc w:val="center"/>
              <w:rPr>
                <w:rFonts w:ascii="標楷體" w:eastAsia="標楷體" w:hAnsi="標楷體"/>
                <w:szCs w:val="24"/>
              </w:rPr>
            </w:pPr>
            <w:r w:rsidRPr="00063F17">
              <w:rPr>
                <w:rFonts w:ascii="標楷體" w:eastAsia="標楷體" w:hAnsi="標楷體"/>
                <w:szCs w:val="24"/>
              </w:rPr>
              <w:t>項次</w:t>
            </w:r>
          </w:p>
        </w:tc>
        <w:tc>
          <w:tcPr>
            <w:tcW w:w="4778" w:type="dxa"/>
            <w:shd w:val="clear" w:color="auto" w:fill="auto"/>
            <w:vAlign w:val="center"/>
          </w:tcPr>
          <w:p w:rsidR="00E75664" w:rsidRPr="00063F17" w:rsidRDefault="00E75664" w:rsidP="009D1272">
            <w:pPr>
              <w:spacing w:line="0" w:lineRule="atLeast"/>
              <w:rPr>
                <w:rFonts w:ascii="標楷體" w:eastAsia="標楷體" w:hAnsi="標楷體"/>
                <w:szCs w:val="24"/>
              </w:rPr>
            </w:pPr>
            <w:r w:rsidRPr="00063F17">
              <w:rPr>
                <w:rFonts w:ascii="標楷體" w:eastAsia="標楷體" w:hAnsi="標楷體" w:hint="eastAsia"/>
                <w:szCs w:val="24"/>
              </w:rPr>
              <w:t xml:space="preserve">     </w:t>
            </w:r>
            <w:r w:rsidRPr="00063F17">
              <w:rPr>
                <w:rFonts w:ascii="標楷體" w:eastAsia="標楷體" w:hAnsi="標楷體"/>
                <w:szCs w:val="24"/>
              </w:rPr>
              <w:t>內</w:t>
            </w:r>
            <w:r w:rsidRPr="00063F17">
              <w:rPr>
                <w:rFonts w:ascii="標楷體" w:eastAsia="標楷體" w:hAnsi="標楷體" w:hint="eastAsia"/>
                <w:szCs w:val="24"/>
              </w:rPr>
              <w:t xml:space="preserve">                    </w:t>
            </w:r>
            <w:r w:rsidRPr="00063F17">
              <w:rPr>
                <w:rFonts w:ascii="標楷體" w:eastAsia="標楷體" w:hAnsi="標楷體"/>
                <w:szCs w:val="24"/>
              </w:rPr>
              <w:t>容</w:t>
            </w:r>
          </w:p>
        </w:tc>
        <w:tc>
          <w:tcPr>
            <w:tcW w:w="4394" w:type="dxa"/>
            <w:vMerge/>
            <w:shd w:val="clear" w:color="auto" w:fill="auto"/>
          </w:tcPr>
          <w:p w:rsidR="00E75664" w:rsidRPr="00063F17" w:rsidRDefault="00E75664" w:rsidP="009D1272">
            <w:pPr>
              <w:jc w:val="center"/>
              <w:rPr>
                <w:rFonts w:ascii="標楷體" w:eastAsia="標楷體" w:hAnsi="標楷體"/>
                <w:szCs w:val="24"/>
              </w:rPr>
            </w:pPr>
          </w:p>
        </w:tc>
      </w:tr>
      <w:tr w:rsidR="00063F17" w:rsidRPr="00063F17" w:rsidTr="003443A0">
        <w:tc>
          <w:tcPr>
            <w:tcW w:w="717" w:type="dxa"/>
            <w:shd w:val="clear" w:color="auto" w:fill="auto"/>
          </w:tcPr>
          <w:p w:rsidR="003443A0" w:rsidRPr="00063F17" w:rsidRDefault="003443A0" w:rsidP="003443A0">
            <w:pPr>
              <w:jc w:val="center"/>
              <w:rPr>
                <w:rFonts w:ascii="標楷體" w:eastAsia="標楷體" w:hAnsi="標楷體"/>
                <w:szCs w:val="24"/>
              </w:rPr>
            </w:pPr>
            <w:r w:rsidRPr="00063F17">
              <w:rPr>
                <w:rFonts w:ascii="標楷體" w:eastAsia="標楷體" w:hAnsi="標楷體" w:hint="eastAsia"/>
                <w:b/>
                <w:szCs w:val="24"/>
              </w:rPr>
              <w:t>一</w:t>
            </w:r>
          </w:p>
          <w:p w:rsidR="00E75664" w:rsidRPr="00063F17" w:rsidRDefault="00E75664" w:rsidP="003443A0">
            <w:pPr>
              <w:jc w:val="center"/>
              <w:rPr>
                <w:rFonts w:ascii="標楷體" w:eastAsia="標楷體" w:hAnsi="標楷體"/>
                <w:szCs w:val="24"/>
              </w:rPr>
            </w:pPr>
            <w:r w:rsidRPr="00063F17">
              <w:rPr>
                <w:rFonts w:ascii="標楷體" w:eastAsia="標楷體" w:hAnsi="標楷體" w:hint="eastAsia"/>
                <w:szCs w:val="24"/>
              </w:rPr>
              <w:t>1</w:t>
            </w:r>
          </w:p>
        </w:tc>
        <w:tc>
          <w:tcPr>
            <w:tcW w:w="4778" w:type="dxa"/>
            <w:shd w:val="clear" w:color="auto" w:fill="auto"/>
          </w:tcPr>
          <w:p w:rsidR="00E75664" w:rsidRPr="00063F17" w:rsidRDefault="003443A0" w:rsidP="003443A0">
            <w:pPr>
              <w:pStyle w:val="ac"/>
              <w:spacing w:line="240" w:lineRule="auto"/>
              <w:ind w:left="240" w:hanging="240"/>
              <w:rPr>
                <w:b/>
                <w:sz w:val="24"/>
                <w:szCs w:val="24"/>
              </w:rPr>
            </w:pPr>
            <w:r w:rsidRPr="00063F17">
              <w:rPr>
                <w:rFonts w:hint="eastAsia"/>
                <w:b/>
                <w:sz w:val="24"/>
                <w:szCs w:val="24"/>
              </w:rPr>
              <w:t>一</w:t>
            </w:r>
            <w:r w:rsidR="00E75664" w:rsidRPr="00063F17">
              <w:rPr>
                <w:rFonts w:hint="eastAsia"/>
                <w:b/>
                <w:sz w:val="24"/>
                <w:szCs w:val="24"/>
              </w:rPr>
              <w:t>、</w:t>
            </w:r>
            <w:r w:rsidR="00E75664" w:rsidRPr="00063F17">
              <w:rPr>
                <w:b/>
                <w:sz w:val="24"/>
                <w:szCs w:val="24"/>
              </w:rPr>
              <w:t>通案決議</w:t>
            </w:r>
            <w:r w:rsidR="00032537">
              <w:rPr>
                <w:rFonts w:hint="eastAsia"/>
                <w:b/>
                <w:sz w:val="24"/>
                <w:szCs w:val="24"/>
              </w:rPr>
              <w:t>部分</w:t>
            </w:r>
            <w:r w:rsidR="00E75664" w:rsidRPr="00063F17">
              <w:rPr>
                <w:rFonts w:hint="eastAsia"/>
                <w:b/>
                <w:sz w:val="24"/>
                <w:szCs w:val="24"/>
              </w:rPr>
              <w:t>：</w:t>
            </w:r>
          </w:p>
          <w:p w:rsidR="00032537" w:rsidRPr="00063F17" w:rsidRDefault="00032537" w:rsidP="00032537">
            <w:pPr>
              <w:jc w:val="both"/>
              <w:rPr>
                <w:rFonts w:ascii="標楷體" w:eastAsia="標楷體" w:hAnsi="標楷體"/>
                <w:szCs w:val="24"/>
              </w:rPr>
            </w:pPr>
            <w:r w:rsidRPr="00063F17">
              <w:rPr>
                <w:rFonts w:ascii="標楷體" w:eastAsia="標楷體" w:hAnsi="標楷體" w:hint="eastAsia"/>
                <w:szCs w:val="24"/>
              </w:rPr>
              <w:t xml:space="preserve">查政府於推動離岸式風力發電計畫，未顧及國家安全和領海水情資料之機密性，讓中國的工作船登堂入室，後經在野黨委員極力反對，方暫停中國工作船進入我國內水進行工作；另發生有中國船偽造船籍參與我軍事重地太平島碼頭建造工程之情。 </w:t>
            </w:r>
          </w:p>
          <w:p w:rsidR="00E75664" w:rsidRPr="00063F17" w:rsidRDefault="00032537" w:rsidP="00032537">
            <w:pPr>
              <w:pStyle w:val="ac"/>
              <w:spacing w:line="240" w:lineRule="auto"/>
              <w:ind w:left="0" w:firstLineChars="0" w:firstLine="0"/>
              <w:rPr>
                <w:sz w:val="24"/>
                <w:szCs w:val="24"/>
              </w:rPr>
            </w:pPr>
            <w:r w:rsidRPr="00063F17">
              <w:rPr>
                <w:rFonts w:hint="eastAsia"/>
                <w:szCs w:val="24"/>
              </w:rPr>
              <w:t>為維護台灣的國家安全，爰要求中央政府各部會及所屬單位所規劃、推動之各項計畫，如確因作業需要，並經尋無國內、國際船隻可供使用，而須使用大陸工作船（含陸資權宜籍船舶）或租傭大陸船舶（含陸資權宜籍船舶）於我國各港口間進行運送作業，暨審核民營業者申請相關船隻來台作業等，應強化類似案件審查作業及程序，由國安單位召開專案審查會議發給無國安疑慮證明文件後，依照臺灣地區與大陸地區人民關係條例第28條、第29條及第30條法制精神，訂定標準審核作業程序，以更嚴格、縝密態度處理相關個案審查事宜，以兼顧國家安全及國家整體經濟發展。</w:t>
            </w:r>
          </w:p>
        </w:tc>
        <w:tc>
          <w:tcPr>
            <w:tcW w:w="4394" w:type="dxa"/>
            <w:shd w:val="clear" w:color="auto" w:fill="auto"/>
          </w:tcPr>
          <w:p w:rsidR="00E75664" w:rsidRPr="00063F17" w:rsidRDefault="00E75664" w:rsidP="003443A0">
            <w:pPr>
              <w:jc w:val="both"/>
              <w:rPr>
                <w:rFonts w:ascii="標楷體" w:eastAsia="標楷體" w:hAnsi="標楷體"/>
              </w:rPr>
            </w:pPr>
          </w:p>
          <w:p w:rsidR="00E75664" w:rsidRPr="00063F17" w:rsidRDefault="008724BF" w:rsidP="003443A0">
            <w:pPr>
              <w:ind w:left="213" w:hanging="213"/>
              <w:jc w:val="both"/>
              <w:rPr>
                <w:rFonts w:ascii="標楷體" w:eastAsia="標楷體" w:hAnsi="標楷體"/>
              </w:rPr>
            </w:pPr>
            <w:r>
              <w:rPr>
                <w:rFonts w:ascii="標楷體" w:eastAsia="標楷體" w:hAnsi="標楷體" w:hint="eastAsia"/>
              </w:rPr>
              <w:t>依相關規定配合辦理</w:t>
            </w:r>
            <w:r>
              <w:rPr>
                <w:rFonts w:ascii="新細明體" w:eastAsia="新細明體" w:hAnsi="新細明體" w:hint="eastAsia"/>
              </w:rPr>
              <w:t>。</w:t>
            </w:r>
          </w:p>
        </w:tc>
      </w:tr>
      <w:tr w:rsidR="00063F17" w:rsidRPr="00063F17" w:rsidTr="003443A0">
        <w:tc>
          <w:tcPr>
            <w:tcW w:w="717" w:type="dxa"/>
            <w:shd w:val="clear" w:color="auto" w:fill="auto"/>
          </w:tcPr>
          <w:p w:rsidR="00B35E99" w:rsidRDefault="00B35E99" w:rsidP="003443A0">
            <w:pPr>
              <w:jc w:val="center"/>
              <w:rPr>
                <w:rFonts w:ascii="標楷體" w:eastAsia="標楷體" w:hAnsi="標楷體"/>
                <w:b/>
                <w:szCs w:val="24"/>
              </w:rPr>
            </w:pPr>
          </w:p>
          <w:p w:rsidR="00E75664" w:rsidRPr="00063F17" w:rsidRDefault="003443A0" w:rsidP="003443A0">
            <w:pPr>
              <w:jc w:val="center"/>
              <w:rPr>
                <w:rFonts w:ascii="標楷體" w:eastAsia="標楷體" w:hAnsi="標楷體"/>
                <w:szCs w:val="24"/>
              </w:rPr>
            </w:pPr>
            <w:r w:rsidRPr="00063F17">
              <w:rPr>
                <w:rFonts w:ascii="標楷體" w:eastAsia="標楷體" w:hAnsi="標楷體" w:hint="eastAsia"/>
                <w:b/>
                <w:szCs w:val="24"/>
              </w:rPr>
              <w:t>二</w:t>
            </w:r>
          </w:p>
          <w:p w:rsidR="00E75664" w:rsidRPr="00063F17" w:rsidRDefault="003443A0" w:rsidP="003443A0">
            <w:pPr>
              <w:jc w:val="center"/>
              <w:rPr>
                <w:rFonts w:ascii="標楷體" w:eastAsia="標楷體" w:hAnsi="標楷體"/>
                <w:szCs w:val="24"/>
              </w:rPr>
            </w:pPr>
            <w:r w:rsidRPr="00063F17">
              <w:rPr>
                <w:rFonts w:ascii="標楷體" w:eastAsia="標楷體" w:hAnsi="標楷體" w:hint="eastAsia"/>
                <w:b/>
                <w:szCs w:val="24"/>
              </w:rPr>
              <w:t>(一)</w:t>
            </w:r>
          </w:p>
          <w:p w:rsidR="00E75664" w:rsidRPr="00063F17" w:rsidRDefault="00E75664" w:rsidP="003443A0">
            <w:pPr>
              <w:jc w:val="center"/>
              <w:rPr>
                <w:rFonts w:ascii="標楷體" w:eastAsia="標楷體" w:hAnsi="標楷體"/>
                <w:szCs w:val="24"/>
              </w:rPr>
            </w:pPr>
            <w:r w:rsidRPr="00063F17">
              <w:rPr>
                <w:rFonts w:ascii="標楷體" w:eastAsia="標楷體" w:hAnsi="標楷體" w:hint="eastAsia"/>
                <w:szCs w:val="24"/>
              </w:rPr>
              <w:t>1</w:t>
            </w:r>
          </w:p>
        </w:tc>
        <w:tc>
          <w:tcPr>
            <w:tcW w:w="4778" w:type="dxa"/>
            <w:shd w:val="clear" w:color="auto" w:fill="auto"/>
          </w:tcPr>
          <w:p w:rsidR="00B42811" w:rsidRDefault="00032537" w:rsidP="00032537">
            <w:pPr>
              <w:pStyle w:val="ac"/>
              <w:spacing w:line="240" w:lineRule="auto"/>
              <w:ind w:left="416" w:hangingChars="173" w:hanging="416"/>
              <w:rPr>
                <w:b/>
                <w:sz w:val="24"/>
                <w:szCs w:val="24"/>
              </w:rPr>
            </w:pPr>
            <w:r w:rsidRPr="00032537">
              <w:rPr>
                <w:rFonts w:hint="eastAsia"/>
                <w:b/>
                <w:sz w:val="24"/>
                <w:szCs w:val="24"/>
              </w:rPr>
              <w:t>教育及文化委員會審查決議部分：</w:t>
            </w:r>
          </w:p>
          <w:p w:rsidR="003443A0" w:rsidRPr="00032537" w:rsidRDefault="00B35E99" w:rsidP="00B42811">
            <w:pPr>
              <w:pStyle w:val="ac"/>
              <w:spacing w:line="240" w:lineRule="auto"/>
              <w:ind w:left="416" w:hangingChars="173" w:hanging="416"/>
              <w:rPr>
                <w:b/>
                <w:sz w:val="24"/>
                <w:szCs w:val="24"/>
              </w:rPr>
            </w:pPr>
            <w:r w:rsidRPr="00032537">
              <w:rPr>
                <w:rFonts w:hint="eastAsia"/>
                <w:b/>
                <w:sz w:val="24"/>
                <w:szCs w:val="24"/>
              </w:rPr>
              <w:t>二、</w:t>
            </w:r>
            <w:r w:rsidR="00B42811" w:rsidRPr="00B42811">
              <w:rPr>
                <w:rFonts w:hint="eastAsia"/>
                <w:b/>
                <w:sz w:val="24"/>
                <w:szCs w:val="24"/>
              </w:rPr>
              <w:t>國立</w:t>
            </w:r>
            <w:r>
              <w:rPr>
                <w:rFonts w:hint="eastAsia"/>
                <w:b/>
                <w:sz w:val="24"/>
                <w:szCs w:val="24"/>
              </w:rPr>
              <w:t>大學校院校務</w:t>
            </w:r>
            <w:r w:rsidR="00B42811" w:rsidRPr="00B42811">
              <w:rPr>
                <w:rFonts w:hint="eastAsia"/>
                <w:b/>
                <w:sz w:val="24"/>
                <w:szCs w:val="24"/>
              </w:rPr>
              <w:t>基金</w:t>
            </w:r>
          </w:p>
          <w:p w:rsidR="00E75664" w:rsidRPr="00063F17" w:rsidRDefault="003443A0" w:rsidP="003443A0">
            <w:pPr>
              <w:pStyle w:val="ac"/>
              <w:spacing w:line="240" w:lineRule="auto"/>
              <w:ind w:left="416" w:hangingChars="173" w:hanging="416"/>
              <w:rPr>
                <w:b/>
                <w:sz w:val="24"/>
                <w:szCs w:val="24"/>
              </w:rPr>
            </w:pPr>
            <w:r w:rsidRPr="00063F17">
              <w:rPr>
                <w:rFonts w:hint="eastAsia"/>
                <w:b/>
                <w:sz w:val="24"/>
                <w:szCs w:val="24"/>
              </w:rPr>
              <w:t>(一)</w:t>
            </w:r>
            <w:r w:rsidR="00793DDC" w:rsidRPr="00063F17">
              <w:rPr>
                <w:rFonts w:hint="eastAsia"/>
                <w:b/>
                <w:sz w:val="24"/>
                <w:szCs w:val="24"/>
              </w:rPr>
              <w:t>通案</w:t>
            </w:r>
          </w:p>
          <w:p w:rsidR="00E75664" w:rsidRPr="00063F17" w:rsidRDefault="00E75664" w:rsidP="003443A0">
            <w:pPr>
              <w:pStyle w:val="ac"/>
              <w:spacing w:line="240" w:lineRule="auto"/>
              <w:ind w:left="12" w:hangingChars="5" w:hanging="12"/>
              <w:rPr>
                <w:sz w:val="24"/>
                <w:szCs w:val="24"/>
              </w:rPr>
            </w:pPr>
            <w:r w:rsidRPr="00063F17">
              <w:rPr>
                <w:rFonts w:hint="eastAsia"/>
                <w:sz w:val="24"/>
                <w:szCs w:val="24"/>
              </w:rPr>
              <w:t>高等教育人才是國家發展之基礎，然由於近年來國內高等教育擴張太過快速，導致博士生供過於求且此有逐漸擴大趨勢。為避免高等人才供需失衡，爰要求教育部於3個月內針對如何提升高等人才創新能力召開跨部會會議，邀集包括產業界與其他相關部門等，從不同角度探討我國高等人才供需失衡危機與處理，會議結論應以書面送交立法院教育及文化委員會。</w:t>
            </w:r>
          </w:p>
        </w:tc>
        <w:tc>
          <w:tcPr>
            <w:tcW w:w="4394" w:type="dxa"/>
            <w:shd w:val="clear" w:color="auto" w:fill="auto"/>
          </w:tcPr>
          <w:p w:rsidR="00063F17" w:rsidRPr="00063F17" w:rsidRDefault="00063F17" w:rsidP="003443A0">
            <w:pPr>
              <w:widowControl/>
              <w:jc w:val="both"/>
              <w:textAlignment w:val="top"/>
              <w:rPr>
                <w:rFonts w:ascii="標楷體" w:eastAsia="標楷體" w:hAnsi="標楷體"/>
              </w:rPr>
            </w:pPr>
          </w:p>
          <w:p w:rsidR="009F51F7" w:rsidRDefault="009F51F7" w:rsidP="003443A0">
            <w:pPr>
              <w:widowControl/>
              <w:jc w:val="both"/>
              <w:textAlignment w:val="top"/>
              <w:rPr>
                <w:rFonts w:ascii="標楷體" w:eastAsia="標楷體" w:hAnsi="標楷體" w:cs="新細明體"/>
                <w:kern w:val="0"/>
              </w:rPr>
            </w:pPr>
          </w:p>
          <w:p w:rsidR="00E75664" w:rsidRPr="00063F17" w:rsidRDefault="009F51F7" w:rsidP="009F51F7">
            <w:pPr>
              <w:widowControl/>
              <w:jc w:val="both"/>
              <w:textAlignment w:val="top"/>
              <w:rPr>
                <w:rFonts w:ascii="標楷體" w:eastAsia="標楷體" w:hAnsi="標楷體" w:cs="新細明體"/>
                <w:kern w:val="0"/>
              </w:rPr>
            </w:pPr>
            <w:r w:rsidRPr="004C2A97">
              <w:rPr>
                <w:rFonts w:ascii="標楷體" w:eastAsia="標楷體" w:hAnsi="標楷體" w:cs="新細明體" w:hint="eastAsia"/>
                <w:kern w:val="0"/>
              </w:rPr>
              <w:t>本校近三學年度博士班實際註冊人數，入學生已在職者比率約占全體之6成左右，顯示東部地區民眾對於在職進修高等專業人才培育管道需求迫切。而本校位處蘊含豐富天然及人文資源之臺灣東部地區，肩負著配合政府政策發展東臺灣之責。因此，運用地方資源，規劃有重點特色之領域，兼顧人文與科技研究，配合推動花東地區整體建設，以增進東部地區生活品質，乃為本校創校之基本理念。多年來，本校即以自然環境科技、族群關係、多元文化教育等領域</w:t>
            </w:r>
            <w:r w:rsidRPr="004C2A97">
              <w:rPr>
                <w:rFonts w:ascii="標楷體" w:eastAsia="標楷體" w:hAnsi="標楷體" w:cs="新細明體" w:hint="eastAsia"/>
                <w:kern w:val="0"/>
              </w:rPr>
              <w:lastRenderedPageBreak/>
              <w:t>做為重點發展的目標。因此，對於博士班招生名額</w:t>
            </w:r>
            <w:r>
              <w:rPr>
                <w:rFonts w:ascii="標楷體" w:eastAsia="標楷體" w:hAnsi="標楷體" w:cs="新細明體" w:hint="eastAsia"/>
                <w:kern w:val="0"/>
              </w:rPr>
              <w:t>供需</w:t>
            </w:r>
            <w:r w:rsidRPr="004C2A97">
              <w:rPr>
                <w:rFonts w:ascii="標楷體" w:eastAsia="標楷體" w:hAnsi="標楷體" w:cs="新細明體" w:hint="eastAsia"/>
                <w:kern w:val="0"/>
              </w:rPr>
              <w:t>，</w:t>
            </w:r>
            <w:r>
              <w:rPr>
                <w:rFonts w:ascii="標楷體" w:eastAsia="標楷體" w:hAnsi="標楷體" w:cs="新細明體" w:hint="eastAsia"/>
                <w:kern w:val="0"/>
              </w:rPr>
              <w:t>本校目前尚未有供過需失衡之情況</w:t>
            </w:r>
            <w:r w:rsidRPr="004C2A97">
              <w:rPr>
                <w:rFonts w:ascii="標楷體" w:eastAsia="標楷體" w:hAnsi="標楷體" w:cs="新細明體" w:hint="eastAsia"/>
                <w:kern w:val="0"/>
              </w:rPr>
              <w:t>。</w:t>
            </w:r>
          </w:p>
        </w:tc>
      </w:tr>
      <w:tr w:rsidR="00063F17" w:rsidRPr="00063F17" w:rsidTr="003443A0">
        <w:trPr>
          <w:trHeight w:val="3564"/>
        </w:trPr>
        <w:tc>
          <w:tcPr>
            <w:tcW w:w="717" w:type="dxa"/>
            <w:shd w:val="clear" w:color="auto" w:fill="auto"/>
          </w:tcPr>
          <w:p w:rsidR="00E75664" w:rsidRPr="00063F17" w:rsidRDefault="00E75664" w:rsidP="003443A0">
            <w:pPr>
              <w:jc w:val="center"/>
              <w:rPr>
                <w:rFonts w:ascii="標楷體" w:eastAsia="標楷體" w:hAnsi="標楷體"/>
                <w:szCs w:val="24"/>
              </w:rPr>
            </w:pPr>
            <w:r w:rsidRPr="00063F17">
              <w:rPr>
                <w:rFonts w:ascii="標楷體" w:eastAsia="標楷體" w:hAnsi="標楷體" w:hint="eastAsia"/>
                <w:szCs w:val="24"/>
              </w:rPr>
              <w:lastRenderedPageBreak/>
              <w:t>2</w:t>
            </w:r>
          </w:p>
        </w:tc>
        <w:tc>
          <w:tcPr>
            <w:tcW w:w="4778" w:type="dxa"/>
            <w:shd w:val="clear" w:color="auto" w:fill="auto"/>
          </w:tcPr>
          <w:p w:rsidR="00E75664" w:rsidRPr="00063F17" w:rsidRDefault="00E75664" w:rsidP="003443A0">
            <w:pPr>
              <w:jc w:val="both"/>
              <w:rPr>
                <w:rFonts w:ascii="標楷體" w:eastAsia="標楷體" w:hAnsi="標楷體" w:cs="新細明體"/>
                <w:szCs w:val="24"/>
              </w:rPr>
            </w:pPr>
            <w:r w:rsidRPr="00063F17">
              <w:rPr>
                <w:rFonts w:ascii="標楷體" w:eastAsia="標楷體" w:hAnsi="標楷體" w:hint="eastAsia"/>
                <w:szCs w:val="24"/>
              </w:rPr>
              <w:t>近10年由於大學校院數量倍增，高等教育經費需求日漸龐大，然因國家稅收未能顯著成長，致使高等教育資源增加有限，諸多學校面臨入不敷出困境。有鑑於中央政府財政困窘，大專校院應積極擴充5項自籌收入以補足政府經費之不足，爰要求儘速針對大學校務基金設置條例進行檢討修正，適度放寬財務運作限制與保持彈性，俾利各大學擴增教育資源並提高校務基金使用績效。</w:t>
            </w:r>
          </w:p>
        </w:tc>
        <w:tc>
          <w:tcPr>
            <w:tcW w:w="4394" w:type="dxa"/>
            <w:shd w:val="clear" w:color="auto" w:fill="auto"/>
          </w:tcPr>
          <w:p w:rsidR="00E75664" w:rsidRPr="004332B5" w:rsidRDefault="00610111" w:rsidP="00A72D9B">
            <w:pPr>
              <w:jc w:val="both"/>
              <w:rPr>
                <w:rFonts w:ascii="標楷體" w:eastAsia="標楷體" w:hAnsi="標楷體"/>
              </w:rPr>
            </w:pPr>
            <w:r w:rsidRPr="004332B5">
              <w:rPr>
                <w:rFonts w:ascii="標楷體" w:eastAsia="標楷體" w:hAnsi="標楷體" w:hint="eastAsia"/>
              </w:rPr>
              <w:t>配合「國立</w:t>
            </w:r>
            <w:r w:rsidRPr="004332B5">
              <w:rPr>
                <w:rFonts w:ascii="標楷體" w:eastAsia="標楷體" w:hAnsi="標楷體" w:hint="eastAsia"/>
                <w:szCs w:val="24"/>
              </w:rPr>
              <w:t>大學校務基金設置條例</w:t>
            </w:r>
            <w:r w:rsidRPr="004332B5">
              <w:rPr>
                <w:rFonts w:ascii="標楷體" w:eastAsia="標楷體" w:hAnsi="標楷體" w:hint="eastAsia"/>
              </w:rPr>
              <w:t>」</w:t>
            </w:r>
            <w:r w:rsidRPr="004332B5">
              <w:rPr>
                <w:rFonts w:ascii="標楷體" w:eastAsia="標楷體" w:hAnsi="標楷體" w:hint="eastAsia"/>
                <w:szCs w:val="24"/>
              </w:rPr>
              <w:t>修正意旨，本校除賡續執行檢討相關節流措施外，為進一步擴大自籌收入規模，已責成相關單位就建教合作、推廣教育、美崙校區活化利用、委外廠商</w:t>
            </w:r>
            <w:r w:rsidR="004332B5" w:rsidRPr="004332B5">
              <w:rPr>
                <w:rFonts w:ascii="標楷體" w:eastAsia="標楷體" w:hAnsi="標楷體" w:hint="eastAsia"/>
                <w:szCs w:val="24"/>
              </w:rPr>
              <w:t>進駐收入、學生及員工宿舍、捐贈收入、投資收益等業管項目研訂相關開源措施，以充裕校務基金收入改善校務基金短絀，提升營運效能</w:t>
            </w:r>
            <w:r w:rsidR="00F253EB" w:rsidRPr="004332B5">
              <w:rPr>
                <w:rFonts w:ascii="標楷體" w:eastAsia="標楷體" w:hAnsi="標楷體" w:hint="eastAsia"/>
              </w:rPr>
              <w:t>。</w:t>
            </w:r>
          </w:p>
        </w:tc>
      </w:tr>
      <w:tr w:rsidR="00F253EB" w:rsidRPr="00063F17" w:rsidTr="003443A0">
        <w:tc>
          <w:tcPr>
            <w:tcW w:w="717" w:type="dxa"/>
            <w:shd w:val="clear" w:color="auto" w:fill="auto"/>
          </w:tcPr>
          <w:p w:rsidR="00F253EB" w:rsidRPr="00063F17" w:rsidRDefault="00D403AE" w:rsidP="003443A0">
            <w:pPr>
              <w:jc w:val="center"/>
              <w:rPr>
                <w:rFonts w:ascii="標楷體" w:eastAsia="標楷體" w:hAnsi="標楷體"/>
                <w:szCs w:val="24"/>
              </w:rPr>
            </w:pPr>
            <w:r>
              <w:rPr>
                <w:rFonts w:ascii="標楷體" w:eastAsia="標楷體" w:hAnsi="標楷體" w:hint="eastAsia"/>
                <w:szCs w:val="24"/>
              </w:rPr>
              <w:t>3</w:t>
            </w:r>
          </w:p>
        </w:tc>
        <w:tc>
          <w:tcPr>
            <w:tcW w:w="4778" w:type="dxa"/>
            <w:shd w:val="clear" w:color="auto" w:fill="auto"/>
          </w:tcPr>
          <w:p w:rsidR="00F253EB" w:rsidRPr="00063F17" w:rsidRDefault="00F253EB" w:rsidP="003443A0">
            <w:pPr>
              <w:jc w:val="both"/>
              <w:rPr>
                <w:rFonts w:ascii="標楷體" w:eastAsia="標楷體" w:hAnsi="標楷體"/>
                <w:szCs w:val="24"/>
              </w:rPr>
            </w:pPr>
            <w:r w:rsidRPr="00063F17">
              <w:rPr>
                <w:rFonts w:ascii="標楷體" w:eastAsia="標楷體" w:hAnsi="標楷體" w:hint="eastAsia"/>
                <w:szCs w:val="24"/>
              </w:rPr>
              <w:t>少子女化浪潮衝擊國內各大學，雖然在今年爆發許多因財源銳減後所造成的幾所私校危機，然而此僅為少子女化的第一波浪潮，尚不到最嚴重的時刻。根據政府統計，第二波、也是最嚴峻的挑戰將在105學年度席捲，屆時大學新生一舉減少5萬人，坊間預測此將成為大學體系之「死亡交叉點」，教育部不能再坐以待斃，應積極研議因應制度，而且不宜僅針對私校之退場機制，國立大學的退場、整併計畫亦應同時進行。</w:t>
            </w:r>
          </w:p>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然而，雖然少子女化目前就已影響臺灣大專校院，卻有部分學校仍因其擁有特色而年年滿招，其中不乏學費較為高昂的私立學校，證明只要做出特色，無須緊張沒有學生。爰此建請教育部除研議縝密完善之退場機制外，亦應探討鬆綁各項法規與制度之可行性，鼓勵大專校院發展特色，以品質作為訴求吸引學生前來就讀。</w:t>
            </w:r>
          </w:p>
        </w:tc>
        <w:tc>
          <w:tcPr>
            <w:tcW w:w="4394" w:type="dxa"/>
            <w:shd w:val="clear" w:color="auto" w:fill="auto"/>
          </w:tcPr>
          <w:p w:rsidR="00A16DB6" w:rsidRPr="00D74E26" w:rsidRDefault="00A16DB6" w:rsidP="00A16DB6">
            <w:pPr>
              <w:jc w:val="both"/>
              <w:rPr>
                <w:rFonts w:ascii="標楷體" w:eastAsia="標楷體" w:hAnsi="標楷體"/>
              </w:rPr>
            </w:pPr>
            <w:r w:rsidRPr="00D74E26">
              <w:rPr>
                <w:rFonts w:ascii="標楷體" w:eastAsia="標楷體" w:hAnsi="標楷體" w:hint="eastAsia"/>
              </w:rPr>
              <w:t>105學年起全面衝擊高等教育之招生，然本校因為地理環境關係，研究所招生在此波衝擊前即已面臨碩、博士班及碩專班註冊人數逐年下降</w:t>
            </w:r>
            <w:r>
              <w:rPr>
                <w:rFonts w:ascii="標楷體" w:eastAsia="標楷體" w:hAnsi="標楷體" w:hint="eastAsia"/>
              </w:rPr>
              <w:t>困</w:t>
            </w:r>
            <w:r w:rsidRPr="00D74E26">
              <w:rPr>
                <w:rFonts w:ascii="標楷體" w:eastAsia="標楷體" w:hAnsi="標楷體" w:hint="eastAsia"/>
              </w:rPr>
              <w:t>境。如何提升學生報考及就讀意願，除本校招生單位需積極辦理宣傳、審慎研擬試務各項期程與相關措施外，更需藉助院、系、所積極主動參與，在全國同類型校系中，增加系所能見度，凸顯系所特色，強化學生專業競爭力，讓學生不僅能正確的「進入」校系學習，更期望其「離開」學校時能找到理想工作，以達到吸引他校學生選擇就讀本校</w:t>
            </w:r>
            <w:r w:rsidR="00A72D9B" w:rsidRPr="00D74E26">
              <w:rPr>
                <w:rFonts w:ascii="標楷體" w:eastAsia="標楷體" w:hAnsi="標楷體" w:hint="eastAsia"/>
              </w:rPr>
              <w:t>，</w:t>
            </w:r>
            <w:r w:rsidRPr="00D74E26">
              <w:rPr>
                <w:rFonts w:ascii="標楷體" w:eastAsia="標楷體" w:hAnsi="標楷體" w:hint="eastAsia"/>
              </w:rPr>
              <w:t>學生留校繼續升學之目標。</w:t>
            </w:r>
          </w:p>
          <w:p w:rsidR="00A16DB6" w:rsidRPr="00D74E26" w:rsidRDefault="00A16DB6" w:rsidP="00A16DB6">
            <w:pPr>
              <w:jc w:val="both"/>
              <w:rPr>
                <w:rFonts w:ascii="標楷體" w:eastAsia="標楷體" w:hAnsi="標楷體"/>
              </w:rPr>
            </w:pPr>
            <w:r w:rsidRPr="00D74E26">
              <w:rPr>
                <w:rFonts w:ascii="標楷體" w:eastAsia="標楷體" w:hAnsi="標楷體" w:hint="eastAsia"/>
              </w:rPr>
              <w:t>為此，配合產業及國家社會人力需求，依據教育部頒「專科以上學校總量發展規模與資源條件標準」之規定，本校訂有增設、調整院、系、所、學位學程及增減招生名額審查辦法，明訂各院、系、所、學位學程申請擴增或調整招生名額之要件，並針對近</w:t>
            </w:r>
            <w:r>
              <w:rPr>
                <w:rFonts w:ascii="標楷體" w:eastAsia="標楷體" w:hAnsi="標楷體" w:hint="eastAsia"/>
              </w:rPr>
              <w:t>二</w:t>
            </w:r>
            <w:r w:rsidRPr="00D74E26">
              <w:rPr>
                <w:rFonts w:ascii="標楷體" w:eastAsia="標楷體" w:hAnsi="標楷體" w:hint="eastAsia"/>
              </w:rPr>
              <w:t>學年度新生平均註冊人數未達規定比例之系所班組，於當學年度應提出改善計畫，如連續二學年度仍未獲改善則予以停招。此外，配合</w:t>
            </w:r>
            <w:r w:rsidRPr="00D74E26">
              <w:rPr>
                <w:rFonts w:ascii="標楷體" w:eastAsia="標楷體" w:hAnsi="標楷體" w:hint="eastAsia"/>
              </w:rPr>
              <w:lastRenderedPageBreak/>
              <w:t>教育部推動之學校主動申請調減招生名額政策，本校於</w:t>
            </w:r>
            <w:r>
              <w:rPr>
                <w:rFonts w:ascii="標楷體" w:eastAsia="標楷體" w:hAnsi="標楷體" w:hint="eastAsia"/>
              </w:rPr>
              <w:t>近二</w:t>
            </w:r>
            <w:r w:rsidRPr="00D74E26">
              <w:rPr>
                <w:rFonts w:ascii="標楷體" w:eastAsia="標楷體" w:hAnsi="標楷體" w:hint="eastAsia"/>
              </w:rPr>
              <w:t>學年度即主動申請調減碩、博士班</w:t>
            </w:r>
            <w:r>
              <w:rPr>
                <w:rFonts w:ascii="標楷體" w:eastAsia="標楷體" w:hAnsi="標楷體" w:hint="eastAsia"/>
              </w:rPr>
              <w:t>、</w:t>
            </w:r>
            <w:r w:rsidRPr="00D74E26">
              <w:rPr>
                <w:rFonts w:ascii="標楷體" w:eastAsia="標楷體" w:hAnsi="標楷體" w:hint="eastAsia"/>
              </w:rPr>
              <w:t>碩士在職專班</w:t>
            </w:r>
            <w:r>
              <w:rPr>
                <w:rFonts w:ascii="標楷體" w:eastAsia="標楷體" w:hAnsi="標楷體" w:hint="eastAsia"/>
              </w:rPr>
              <w:t>招生名額</w:t>
            </w:r>
            <w:r w:rsidRPr="00D74E26">
              <w:rPr>
                <w:rFonts w:ascii="標楷體" w:eastAsia="標楷體" w:hAnsi="標楷體" w:hint="eastAsia"/>
              </w:rPr>
              <w:t>，目前執行狀況良好。</w:t>
            </w:r>
            <w:r w:rsidRPr="00D74E26">
              <w:rPr>
                <w:rFonts w:ascii="標楷體" w:eastAsia="標楷體" w:hAnsi="標楷體"/>
              </w:rPr>
              <w:t>105</w:t>
            </w:r>
            <w:r w:rsidRPr="00D74E26">
              <w:rPr>
                <w:rFonts w:ascii="標楷體" w:eastAsia="標楷體" w:hAnsi="標楷體" w:hint="eastAsia"/>
              </w:rPr>
              <w:t>學年度將再持續</w:t>
            </w:r>
            <w:r>
              <w:rPr>
                <w:rFonts w:ascii="標楷體" w:eastAsia="標楷體" w:hAnsi="標楷體" w:hint="eastAsia"/>
              </w:rPr>
              <w:t>進行</w:t>
            </w:r>
            <w:r w:rsidRPr="00D74E26">
              <w:rPr>
                <w:rFonts w:ascii="標楷體" w:eastAsia="標楷體" w:hAnsi="標楷體" w:hint="eastAsia"/>
              </w:rPr>
              <w:t>，期望透過主動調減招生名額之規劃，除能有效提升本校註冊率外，並可將部分名額先予留存，於日後規劃新增具前瞻性、跨領域、競爭力之系、所、學位學程時再有效運用。而對於產業人力需求較大之系所，除逐年增加招生名額以為因應，並加強系所特色，推動就業學程，以提升學生整體競爭力。</w:t>
            </w:r>
          </w:p>
          <w:p w:rsidR="00F253EB" w:rsidRPr="00063F17" w:rsidRDefault="00A16DB6" w:rsidP="00A16DB6">
            <w:pPr>
              <w:jc w:val="both"/>
              <w:rPr>
                <w:rFonts w:ascii="標楷體" w:eastAsia="標楷體" w:hAnsi="標楷體"/>
              </w:rPr>
            </w:pPr>
            <w:r w:rsidRPr="00D74E26">
              <w:rPr>
                <w:rFonts w:ascii="標楷體" w:eastAsia="標楷體" w:hAnsi="標楷體" w:hint="eastAsia"/>
              </w:rPr>
              <w:t>本校</w:t>
            </w:r>
            <w:r>
              <w:rPr>
                <w:rFonts w:ascii="標楷體" w:eastAsia="標楷體" w:hAnsi="標楷體" w:hint="eastAsia"/>
              </w:rPr>
              <w:t>亦</w:t>
            </w:r>
            <w:r w:rsidRPr="00D74E26">
              <w:rPr>
                <w:rFonts w:ascii="標楷體" w:eastAsia="標楷體" w:hAnsi="標楷體" w:hint="eastAsia"/>
              </w:rPr>
              <w:t>將持續依循前述調整指標及配院系所發展概況，隨時審慎評估調整系所及有效運用招生名額，以期能更符合社會國家需求，培育相關領域專業人才。</w:t>
            </w:r>
          </w:p>
        </w:tc>
      </w:tr>
      <w:tr w:rsidR="00F253EB" w:rsidRPr="00063F17" w:rsidTr="003443A0">
        <w:tc>
          <w:tcPr>
            <w:tcW w:w="717" w:type="dxa"/>
            <w:shd w:val="clear" w:color="auto" w:fill="auto"/>
          </w:tcPr>
          <w:p w:rsidR="00F253EB" w:rsidRPr="00063F17" w:rsidRDefault="00D403AE" w:rsidP="003443A0">
            <w:pPr>
              <w:jc w:val="center"/>
              <w:rPr>
                <w:rFonts w:ascii="標楷體" w:eastAsia="標楷體" w:hAnsi="標楷體"/>
                <w:szCs w:val="24"/>
              </w:rPr>
            </w:pPr>
            <w:r>
              <w:rPr>
                <w:rFonts w:ascii="標楷體" w:eastAsia="標楷體" w:hAnsi="標楷體" w:hint="eastAsia"/>
                <w:szCs w:val="24"/>
              </w:rPr>
              <w:lastRenderedPageBreak/>
              <w:t>4</w:t>
            </w:r>
          </w:p>
        </w:tc>
        <w:tc>
          <w:tcPr>
            <w:tcW w:w="4778" w:type="dxa"/>
            <w:shd w:val="clear" w:color="auto" w:fill="auto"/>
          </w:tcPr>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鑑於聽覺障礙者仰賴視覺溝通線索，尤以手語為重要的溝通媒介之一；手語是視覺語言，不經口耳，而經手眼。其演進發展，亦代表台灣聽障者的發展足跡，具濃厚歷史文化意涵，足應保障。查美國將美國手語（American</w:t>
            </w:r>
            <w:r>
              <w:rPr>
                <w:rFonts w:ascii="標楷體" w:eastAsia="標楷體" w:hAnsi="標楷體" w:hint="eastAsia"/>
                <w:szCs w:val="24"/>
              </w:rPr>
              <w:t xml:space="preserve"> </w:t>
            </w:r>
            <w:r w:rsidRPr="00063F17">
              <w:rPr>
                <w:rFonts w:ascii="標楷體" w:eastAsia="標楷體" w:hAnsi="標楷體" w:hint="eastAsia"/>
                <w:szCs w:val="24"/>
              </w:rPr>
              <w:t>Sign</w:t>
            </w:r>
            <w:r>
              <w:rPr>
                <w:rFonts w:ascii="標楷體" w:eastAsia="標楷體" w:hAnsi="標楷體" w:hint="eastAsia"/>
                <w:szCs w:val="24"/>
              </w:rPr>
              <w:t xml:space="preserve"> </w:t>
            </w:r>
            <w:r w:rsidRPr="00063F17">
              <w:rPr>
                <w:rFonts w:ascii="標楷體" w:eastAsia="標楷體" w:hAnsi="標楷體" w:hint="eastAsia"/>
                <w:szCs w:val="24"/>
              </w:rPr>
              <w:t>Language）視為外語，在大學中為外語系選修語言之一；而國內外相關語言研究均指出，有相當證據可以支持手語是一門獨立語言，應與其他外語如英文、德文、日文等具相同地位；且手語如同口語，各地會有方言差異，手語也有其手勢差異，足見手語亦為民俗獨特文化之一，政府應該重視其傳承保存。爰建請教育部鼓勵大專院校增設手語選修學分及手語語言學程，以保障手語地位。</w:t>
            </w:r>
          </w:p>
        </w:tc>
        <w:tc>
          <w:tcPr>
            <w:tcW w:w="4394" w:type="dxa"/>
            <w:shd w:val="clear" w:color="auto" w:fill="auto"/>
          </w:tcPr>
          <w:p w:rsidR="00FE14D6" w:rsidRDefault="00FE14D6" w:rsidP="00365A84">
            <w:pPr>
              <w:jc w:val="both"/>
              <w:rPr>
                <w:rFonts w:ascii="標楷體" w:eastAsia="標楷體" w:hAnsi="標楷體"/>
              </w:rPr>
            </w:pPr>
            <w:r>
              <w:rPr>
                <w:rFonts w:ascii="標楷體" w:eastAsia="標楷體" w:hAnsi="標楷體" w:hint="eastAsia"/>
              </w:rPr>
              <w:t>本校心理諮商輔導中心資源教室不定期</w:t>
            </w:r>
            <w:r w:rsidR="00626342">
              <w:rPr>
                <w:rFonts w:ascii="標楷體" w:eastAsia="標楷體" w:hAnsi="標楷體" w:hint="eastAsia"/>
              </w:rPr>
              <w:t>舉</w:t>
            </w:r>
            <w:r>
              <w:rPr>
                <w:rFonts w:ascii="標楷體" w:eastAsia="標楷體" w:hAnsi="標楷體" w:hint="eastAsia"/>
              </w:rPr>
              <w:t>辦</w:t>
            </w:r>
            <w:r w:rsidRPr="004313B7">
              <w:rPr>
                <w:rFonts w:ascii="標楷體" w:eastAsia="標楷體" w:hAnsi="標楷體" w:hint="eastAsia"/>
              </w:rPr>
              <w:t>『手語傳愛、溝通無礙』研習</w:t>
            </w:r>
            <w:r>
              <w:rPr>
                <w:rFonts w:ascii="標楷體" w:eastAsia="標楷體" w:hAnsi="標楷體" w:hint="eastAsia"/>
              </w:rPr>
              <w:t>，以培訓手語翻譯人才，提供聽障學生於上課及就醫等陪同翻譯服務。</w:t>
            </w:r>
          </w:p>
          <w:p w:rsidR="00F253EB" w:rsidRPr="00063F17" w:rsidRDefault="00FE14D6" w:rsidP="00365A84">
            <w:pPr>
              <w:ind w:left="2"/>
              <w:jc w:val="both"/>
              <w:rPr>
                <w:rFonts w:ascii="標楷體" w:eastAsia="標楷體" w:hAnsi="標楷體"/>
              </w:rPr>
            </w:pPr>
            <w:r>
              <w:rPr>
                <w:rFonts w:ascii="標楷體" w:eastAsia="標楷體" w:hAnsi="標楷體" w:hint="eastAsia"/>
              </w:rPr>
              <w:t>開設正式手語課程及增設手語語言學程</w:t>
            </w:r>
            <w:r w:rsidR="00626342">
              <w:rPr>
                <w:rFonts w:ascii="標楷體" w:eastAsia="標楷體" w:hAnsi="標楷體" w:hint="eastAsia"/>
              </w:rPr>
              <w:t>部分</w:t>
            </w:r>
            <w:r>
              <w:rPr>
                <w:rFonts w:ascii="標楷體" w:eastAsia="標楷體" w:hAnsi="標楷體" w:hint="eastAsia"/>
              </w:rPr>
              <w:t>，</w:t>
            </w:r>
            <w:r w:rsidR="00626342">
              <w:rPr>
                <w:rFonts w:ascii="標楷體" w:eastAsia="標楷體" w:hAnsi="標楷體" w:hint="eastAsia"/>
              </w:rPr>
              <w:t>本校</w:t>
            </w:r>
            <w:r>
              <w:rPr>
                <w:rFonts w:ascii="標楷體" w:eastAsia="標楷體" w:hAnsi="標楷體" w:hint="eastAsia"/>
              </w:rPr>
              <w:t>將於相關教務或課程會議中討論，並請相關學系或通識教育中心研議開課的可行性。</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t>5</w:t>
            </w:r>
          </w:p>
        </w:tc>
        <w:tc>
          <w:tcPr>
            <w:tcW w:w="4778" w:type="dxa"/>
            <w:shd w:val="clear" w:color="auto" w:fill="auto"/>
          </w:tcPr>
          <w:p w:rsidR="00F253EB" w:rsidRPr="00063F17" w:rsidRDefault="00F253EB" w:rsidP="003443A0">
            <w:pPr>
              <w:jc w:val="both"/>
              <w:rPr>
                <w:rFonts w:ascii="標楷體" w:eastAsia="標楷體" w:hAnsi="標楷體"/>
                <w:szCs w:val="24"/>
              </w:rPr>
            </w:pPr>
            <w:r w:rsidRPr="00063F17">
              <w:rPr>
                <w:rFonts w:ascii="標楷體" w:eastAsia="標楷體" w:hAnsi="標楷體" w:hint="eastAsia"/>
                <w:szCs w:val="24"/>
              </w:rPr>
              <w:t>鑑於少子化問題延燒，高等教育輸出已為教育部既定政策之一，開放陸生來台就學尤為重點項目。惟查「大學校院招收大陸地區學生聯合招生委員會」所公告之「2013年大學校院學士班聯合招收大陸地區學生招生學校及系組」，除金門及澎湖（離島）2所國立大</w:t>
            </w:r>
            <w:r w:rsidRPr="00063F17">
              <w:rPr>
                <w:rFonts w:ascii="標楷體" w:eastAsia="標楷體" w:hAnsi="標楷體" w:hint="eastAsia"/>
                <w:szCs w:val="24"/>
              </w:rPr>
              <w:lastRenderedPageBreak/>
              <w:t>學外，其餘國立大學均無法招收陸生3年制學士班；考量現行國立大學校院類型及系科多元，開放陸生來台不應獨厚私校生源。據此，建請教育部針對特殊類型學校或系科（與私校並無生源直接競爭或重複者）予以開放，並以國立台灣戲曲學院為先，使該校不受來台就讀辦法第4條第2項中「陸生比例不得逾當學年度核定該校相同學制班招生名額百分之二為原則」之規定。</w:t>
            </w:r>
          </w:p>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國立台灣戲曲學院為我國教育史上第1所12年一貫制之戲曲人才養成學府，以培育傳統藝術人才、弘揚傳統戲曲文化為宗旨，對傳統藝術文化保存、傳承工作，助益甚豐。然受大環境影響，國內生源尋覓已屬不易，且現行制度又未予開放陸生，對傳統戲曲文化之傳承與保存工作恐將雪上加霜。</w:t>
            </w:r>
          </w:p>
        </w:tc>
        <w:tc>
          <w:tcPr>
            <w:tcW w:w="4394" w:type="dxa"/>
            <w:shd w:val="clear" w:color="auto" w:fill="auto"/>
          </w:tcPr>
          <w:p w:rsidR="00F253EB" w:rsidRPr="00666506" w:rsidRDefault="002F1AFF" w:rsidP="00F91145">
            <w:pPr>
              <w:jc w:val="both"/>
              <w:rPr>
                <w:rFonts w:ascii="標楷體" w:eastAsia="標楷體" w:hAnsi="標楷體"/>
              </w:rPr>
            </w:pPr>
            <w:r w:rsidRPr="00666506">
              <w:rPr>
                <w:rFonts w:ascii="標楷體" w:eastAsia="標楷體" w:hAnsi="標楷體" w:hint="eastAsia"/>
              </w:rPr>
              <w:lastRenderedPageBreak/>
              <w:t>教育部核定</w:t>
            </w:r>
            <w:r w:rsidR="00654715" w:rsidRPr="00666506">
              <w:rPr>
                <w:rFonts w:ascii="標楷體" w:eastAsia="標楷體" w:hAnsi="標楷體" w:hint="eastAsia"/>
              </w:rPr>
              <w:t>104年度</w:t>
            </w:r>
            <w:r w:rsidRPr="00666506">
              <w:rPr>
                <w:rFonts w:ascii="標楷體" w:eastAsia="標楷體" w:hAnsi="標楷體" w:hint="eastAsia"/>
              </w:rPr>
              <w:t>本校</w:t>
            </w:r>
            <w:r w:rsidR="00654715" w:rsidRPr="00666506">
              <w:rPr>
                <w:rFonts w:ascii="標楷體" w:eastAsia="標楷體" w:hAnsi="標楷體" w:hint="eastAsia"/>
              </w:rPr>
              <w:t>大陸</w:t>
            </w:r>
            <w:r w:rsidR="000900E2" w:rsidRPr="00666506">
              <w:rPr>
                <w:rFonts w:ascii="標楷體" w:eastAsia="標楷體" w:hAnsi="標楷體" w:hint="eastAsia"/>
              </w:rPr>
              <w:t>地區</w:t>
            </w:r>
            <w:r w:rsidR="00654715" w:rsidRPr="00666506">
              <w:rPr>
                <w:rFonts w:ascii="標楷體" w:eastAsia="標楷體" w:hAnsi="標楷體" w:hint="eastAsia"/>
              </w:rPr>
              <w:t>學生招生名額學士班5名，</w:t>
            </w:r>
            <w:r w:rsidR="00666506" w:rsidRPr="00666506">
              <w:rPr>
                <w:rFonts w:ascii="標楷體" w:eastAsia="標楷體" w:hAnsi="標楷體" w:hint="eastAsia"/>
              </w:rPr>
              <w:t>並建請教育部酌</w:t>
            </w:r>
            <w:r w:rsidR="00666506" w:rsidRPr="00F91145">
              <w:rPr>
                <w:rFonts w:ascii="標楷體" w:eastAsia="標楷體" w:hAnsi="標楷體" w:hint="eastAsia"/>
              </w:rPr>
              <w:t>情逐年增加大陸</w:t>
            </w:r>
            <w:r w:rsidR="00E678DB" w:rsidRPr="00F91145">
              <w:rPr>
                <w:rFonts w:ascii="標楷體" w:eastAsia="標楷體" w:hAnsi="標楷體" w:hint="eastAsia"/>
              </w:rPr>
              <w:t>地區</w:t>
            </w:r>
            <w:r w:rsidR="00666506" w:rsidRPr="00F91145">
              <w:rPr>
                <w:rFonts w:ascii="標楷體" w:eastAsia="標楷體" w:hAnsi="標楷體" w:hint="eastAsia"/>
              </w:rPr>
              <w:t>學生學士班名額外，</w:t>
            </w:r>
            <w:r w:rsidR="000964D9" w:rsidRPr="00F91145">
              <w:rPr>
                <w:rFonts w:ascii="標楷體" w:eastAsia="標楷體" w:hAnsi="標楷體" w:hint="eastAsia"/>
              </w:rPr>
              <w:t>另</w:t>
            </w:r>
            <w:r w:rsidR="00666506" w:rsidRPr="00F91145">
              <w:rPr>
                <w:rFonts w:ascii="標楷體" w:eastAsia="標楷體" w:hAnsi="標楷體" w:hint="eastAsia"/>
              </w:rPr>
              <w:t>本校積極</w:t>
            </w:r>
            <w:r w:rsidR="00E678DB" w:rsidRPr="00F91145">
              <w:rPr>
                <w:rFonts w:ascii="標楷體" w:eastAsia="標楷體" w:hAnsi="標楷體" w:hint="eastAsia"/>
              </w:rPr>
              <w:t>拓展</w:t>
            </w:r>
            <w:r w:rsidR="007E565B" w:rsidRPr="00F91145">
              <w:rPr>
                <w:rFonts w:ascii="標楷體" w:eastAsia="標楷體" w:hAnsi="標楷體" w:hint="eastAsia"/>
              </w:rPr>
              <w:t>大陸地區學生自費交換生</w:t>
            </w:r>
            <w:r w:rsidR="000964D9" w:rsidRPr="00F91145">
              <w:rPr>
                <w:rFonts w:ascii="標楷體" w:eastAsia="標楷體" w:hAnsi="標楷體" w:hint="eastAsia"/>
              </w:rPr>
              <w:t>人數</w:t>
            </w:r>
            <w:r w:rsidRPr="00F91145">
              <w:rPr>
                <w:rFonts w:ascii="標楷體" w:eastAsia="標楷體" w:hAnsi="標楷體" w:hint="eastAsia"/>
              </w:rPr>
              <w:t>，</w:t>
            </w:r>
            <w:r w:rsidR="007E565B" w:rsidRPr="00F91145">
              <w:rPr>
                <w:rFonts w:ascii="標楷體" w:eastAsia="標楷體" w:hAnsi="標楷體" w:hint="eastAsia"/>
              </w:rPr>
              <w:t>103學年度</w:t>
            </w:r>
            <w:r w:rsidR="00F91145" w:rsidRPr="00F91145">
              <w:rPr>
                <w:rFonts w:ascii="標楷體" w:eastAsia="標楷體" w:hAnsi="標楷體" w:hint="eastAsia"/>
              </w:rPr>
              <w:t>第1學期45名、</w:t>
            </w:r>
            <w:r w:rsidR="007E565B" w:rsidRPr="00F91145">
              <w:rPr>
                <w:rFonts w:ascii="標楷體" w:eastAsia="標楷體" w:hAnsi="標楷體" w:hint="eastAsia"/>
              </w:rPr>
              <w:t>第2學期</w:t>
            </w:r>
            <w:r w:rsidRPr="00F91145">
              <w:rPr>
                <w:rFonts w:ascii="標楷體" w:eastAsia="標楷體" w:hAnsi="標楷體" w:hint="eastAsia"/>
              </w:rPr>
              <w:t>5</w:t>
            </w:r>
            <w:r w:rsidR="007E565B" w:rsidRPr="00F91145">
              <w:rPr>
                <w:rFonts w:ascii="標楷體" w:eastAsia="標楷體" w:hAnsi="標楷體" w:hint="eastAsia"/>
              </w:rPr>
              <w:t>9名</w:t>
            </w:r>
            <w:r w:rsidRPr="00F91145">
              <w:rPr>
                <w:rFonts w:ascii="標楷體" w:eastAsia="標楷體" w:hAnsi="標楷體" w:hint="eastAsia"/>
              </w:rPr>
              <w:t>、104學年度第1學期120</w:t>
            </w:r>
            <w:r w:rsidRPr="00F91145">
              <w:rPr>
                <w:rFonts w:ascii="標楷體" w:eastAsia="標楷體" w:hAnsi="標楷體" w:hint="eastAsia"/>
              </w:rPr>
              <w:lastRenderedPageBreak/>
              <w:t>名</w:t>
            </w:r>
            <w:r w:rsidR="000964D9" w:rsidRPr="00F91145">
              <w:rPr>
                <w:rFonts w:ascii="標楷體" w:eastAsia="標楷體" w:hAnsi="標楷體" w:hint="eastAsia"/>
              </w:rPr>
              <w:t>，</w:t>
            </w:r>
            <w:r w:rsidR="00F91145">
              <w:rPr>
                <w:rFonts w:ascii="標楷體" w:eastAsia="標楷體" w:hAnsi="標楷體" w:hint="eastAsia"/>
              </w:rPr>
              <w:t>顯見</w:t>
            </w:r>
            <w:r w:rsidR="00A72D9B" w:rsidRPr="00F91145">
              <w:rPr>
                <w:rFonts w:ascii="標楷體" w:eastAsia="標楷體" w:hAnsi="標楷體" w:hint="eastAsia"/>
              </w:rPr>
              <w:t>大陸地區</w:t>
            </w:r>
            <w:r w:rsidR="00F91145" w:rsidRPr="00F91145">
              <w:rPr>
                <w:rFonts w:ascii="標楷體" w:eastAsia="標楷體" w:hAnsi="標楷體" w:hint="eastAsia"/>
              </w:rPr>
              <w:t>學生人數</w:t>
            </w:r>
            <w:r w:rsidR="00F91145">
              <w:rPr>
                <w:rFonts w:ascii="標楷體" w:eastAsia="標楷體" w:hAnsi="標楷體" w:hint="eastAsia"/>
              </w:rPr>
              <w:t>有</w:t>
            </w:r>
            <w:r w:rsidR="00F91145" w:rsidRPr="00F91145">
              <w:rPr>
                <w:rFonts w:ascii="標楷體" w:eastAsia="標楷體" w:hAnsi="標楷體" w:hint="eastAsia"/>
              </w:rPr>
              <w:t>逐年成長</w:t>
            </w:r>
            <w:r w:rsidR="00F91145">
              <w:rPr>
                <w:rFonts w:ascii="標楷體" w:eastAsia="標楷體" w:hAnsi="標楷體" w:hint="eastAsia"/>
              </w:rPr>
              <w:t>趨勢</w:t>
            </w:r>
            <w:r w:rsidR="003F55FE" w:rsidRPr="00F91145">
              <w:rPr>
                <w:rFonts w:ascii="標楷體" w:eastAsia="標楷體" w:hAnsi="標楷體" w:hint="eastAsia"/>
              </w:rPr>
              <w:t>。</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lastRenderedPageBreak/>
              <w:t>6</w:t>
            </w:r>
          </w:p>
        </w:tc>
        <w:tc>
          <w:tcPr>
            <w:tcW w:w="4778" w:type="dxa"/>
            <w:shd w:val="clear" w:color="auto" w:fill="auto"/>
          </w:tcPr>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鑑於花東及其他偏鄉地區，教育城鄉差距問題嚴重，學子普遍赴外地就學；除造成偏鄉人口空洞化，在地高中職招生亦受影響。爰建請教育部鼓勵大學於個人申請等入學管道，提供部分名額優先錄取在地弱勢高中職學生，以達就近入學、就近就業，更收偏鄉高中職與大學新生報到率與選讀意願提升之效。</w:t>
            </w:r>
          </w:p>
        </w:tc>
        <w:tc>
          <w:tcPr>
            <w:tcW w:w="4394" w:type="dxa"/>
            <w:shd w:val="clear" w:color="auto" w:fill="auto"/>
          </w:tcPr>
          <w:p w:rsidR="00F253EB" w:rsidRPr="00063F17" w:rsidRDefault="000B7BB8" w:rsidP="00F45E1F">
            <w:pPr>
              <w:jc w:val="both"/>
              <w:rPr>
                <w:rFonts w:ascii="標楷體" w:eastAsia="標楷體" w:hAnsi="標楷體"/>
              </w:rPr>
            </w:pPr>
            <w:r>
              <w:rPr>
                <w:rFonts w:ascii="標楷體" w:eastAsia="標楷體" w:hAnsi="標楷體" w:hint="eastAsia"/>
              </w:rPr>
              <w:t>本校在</w:t>
            </w:r>
            <w:r w:rsidRPr="000B7BB8">
              <w:rPr>
                <w:rFonts w:ascii="標楷體" w:eastAsia="標楷體" w:hAnsi="標楷體" w:hint="eastAsia"/>
              </w:rPr>
              <w:t>個人申請招生管道部分設有花蓮、花東及身障等學生優先錄取名額，藉以提升學習弱勢學生入學機會</w:t>
            </w:r>
            <w:r>
              <w:rPr>
                <w:rFonts w:ascii="標楷體" w:eastAsia="標楷體" w:hAnsi="標楷體" w:hint="eastAsia"/>
              </w:rPr>
              <w:t>外</w:t>
            </w:r>
            <w:r>
              <w:rPr>
                <w:rFonts w:ascii="新細明體" w:eastAsia="新細明體" w:hAnsi="新細明體" w:hint="eastAsia"/>
              </w:rPr>
              <w:t>，</w:t>
            </w:r>
            <w:r>
              <w:rPr>
                <w:rFonts w:ascii="標楷體" w:eastAsia="標楷體" w:hAnsi="標楷體" w:hint="eastAsia"/>
              </w:rPr>
              <w:t>另有原住民民族學院單獨招生管道，專門招收原住民族學生，以提供偏鄉</w:t>
            </w:r>
            <w:r w:rsidR="00F45E1F">
              <w:rPr>
                <w:rFonts w:ascii="標楷體" w:eastAsia="標楷體" w:hAnsi="標楷體" w:hint="eastAsia"/>
              </w:rPr>
              <w:t>原住民族</w:t>
            </w:r>
            <w:r>
              <w:rPr>
                <w:rFonts w:ascii="標楷體" w:eastAsia="標楷體" w:hAnsi="標楷體" w:hint="eastAsia"/>
              </w:rPr>
              <w:t>學生入學機會。</w:t>
            </w:r>
          </w:p>
        </w:tc>
      </w:tr>
      <w:tr w:rsidR="00F253EB" w:rsidRPr="00063F17" w:rsidTr="003443A0">
        <w:trPr>
          <w:trHeight w:val="4884"/>
        </w:trPr>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lastRenderedPageBreak/>
              <w:t>7</w:t>
            </w:r>
          </w:p>
        </w:tc>
        <w:tc>
          <w:tcPr>
            <w:tcW w:w="4778" w:type="dxa"/>
            <w:shd w:val="clear" w:color="auto" w:fill="auto"/>
          </w:tcPr>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為強化各國立大學之資源運用，並創造研究規模以利國際競爭，教育部於本世紀初起鼓勵各大學成立大學系統，而我國第一個大學系統「臺灣聯合大學系統」亦於2003年成立。惟我國各國立大學縱已成立多個大學系統，然配合大學系統共同計畫之經費收支，卻未能於預算程序中完善說明，恐有逸脫國會監督之虞，矧因教育部對大學系統之人事、組織架構與經費審核規範密度不足，致使大學系統是否如預期改善學術環境與能量，或淪為特定人士「學術社交」之場域，實有深入檢視之必要。爰要求參與大學系統之各國立大學，往後編製預算書時應明確標示配合大學系統所需收支，並提供各該大學配合大學系統之年度和跨年期工作計畫；參與大學系統之國立大學，亦應於3個月內，就該校參與大學系統已獲致之成果和未來目標，向立法院教育及文化委員會提出書面報告。</w:t>
            </w:r>
          </w:p>
        </w:tc>
        <w:tc>
          <w:tcPr>
            <w:tcW w:w="4394" w:type="dxa"/>
            <w:shd w:val="clear" w:color="auto" w:fill="auto"/>
          </w:tcPr>
          <w:p w:rsidR="00CF5167" w:rsidRDefault="00CF5167" w:rsidP="0016240C">
            <w:pPr>
              <w:jc w:val="both"/>
              <w:rPr>
                <w:rFonts w:ascii="標楷體" w:eastAsia="標楷體" w:hAnsi="標楷體"/>
              </w:rPr>
            </w:pPr>
            <w:r w:rsidRPr="00DD1295">
              <w:rPr>
                <w:rFonts w:ascii="標楷體" w:eastAsia="標楷體" w:hAnsi="標楷體" w:hint="eastAsia"/>
              </w:rPr>
              <w:t>臺灣教育大學系統</w:t>
            </w:r>
            <w:r>
              <w:rPr>
                <w:rFonts w:ascii="標楷體" w:eastAsia="標楷體" w:hAnsi="標楷體" w:hint="eastAsia"/>
              </w:rPr>
              <w:t>組成學校成員共計有</w:t>
            </w:r>
            <w:r w:rsidR="00673ECD" w:rsidRPr="00D9667F">
              <w:rPr>
                <w:rFonts w:ascii="標楷體" w:eastAsia="標楷體" w:hAnsi="標楷體" w:hint="eastAsia"/>
              </w:rPr>
              <w:t>國立東華大學</w:t>
            </w:r>
            <w:r w:rsidR="00673ECD">
              <w:rPr>
                <w:rFonts w:ascii="標楷體" w:eastAsia="標楷體" w:hAnsi="標楷體" w:hint="eastAsia"/>
              </w:rPr>
              <w:t>、</w:t>
            </w:r>
            <w:r w:rsidR="00673ECD" w:rsidRPr="00096ADB">
              <w:rPr>
                <w:rFonts w:ascii="標楷體" w:eastAsia="標楷體" w:hAnsi="標楷體" w:hint="eastAsia"/>
              </w:rPr>
              <w:t>國立</w:t>
            </w:r>
            <w:r w:rsidR="00673ECD">
              <w:rPr>
                <w:rFonts w:ascii="標楷體" w:eastAsia="標楷體" w:hAnsi="標楷體" w:hint="eastAsia"/>
              </w:rPr>
              <w:t>嘉義</w:t>
            </w:r>
            <w:r w:rsidR="00673ECD" w:rsidRPr="00096ADB">
              <w:rPr>
                <w:rFonts w:ascii="標楷體" w:eastAsia="標楷體" w:hAnsi="標楷體" w:hint="eastAsia"/>
              </w:rPr>
              <w:t>大學</w:t>
            </w:r>
            <w:r w:rsidR="00673ECD">
              <w:rPr>
                <w:rFonts w:ascii="標楷體" w:eastAsia="標楷體" w:hAnsi="標楷體" w:hint="eastAsia"/>
              </w:rPr>
              <w:t>、</w:t>
            </w:r>
            <w:r w:rsidR="00673ECD" w:rsidRPr="00096ADB">
              <w:rPr>
                <w:rFonts w:ascii="標楷體" w:eastAsia="標楷體" w:hAnsi="標楷體" w:hint="eastAsia"/>
              </w:rPr>
              <w:t>國立</w:t>
            </w:r>
            <w:r w:rsidR="00673ECD" w:rsidRPr="00673ECD">
              <w:rPr>
                <w:rFonts w:ascii="標楷體" w:eastAsia="標楷體" w:hAnsi="標楷體" w:hint="eastAsia"/>
              </w:rPr>
              <w:t>臺東大學、國立臺南大學、國立屏東大學、國立臺中教育大學及臺北市立大學等7所大學</w:t>
            </w:r>
            <w:r w:rsidR="008E71EF">
              <w:rPr>
                <w:rFonts w:ascii="新細明體" w:eastAsia="新細明體" w:hAnsi="新細明體" w:hint="eastAsia"/>
              </w:rPr>
              <w:t>。</w:t>
            </w:r>
            <w:r w:rsidR="008E71EF">
              <w:rPr>
                <w:rFonts w:ascii="標楷體" w:eastAsia="標楷體" w:hAnsi="標楷體" w:hint="eastAsia"/>
              </w:rPr>
              <w:t>由於</w:t>
            </w:r>
            <w:r w:rsidR="002E4E0F" w:rsidRPr="00673ECD">
              <w:rPr>
                <w:rFonts w:ascii="標楷體" w:eastAsia="標楷體" w:hAnsi="標楷體" w:hint="eastAsia"/>
              </w:rPr>
              <w:t>本校校務會議尚未通過加入</w:t>
            </w:r>
            <w:r w:rsidR="002E4E0F">
              <w:rPr>
                <w:rFonts w:ascii="標楷體" w:eastAsia="標楷體" w:hAnsi="標楷體" w:hint="eastAsia"/>
              </w:rPr>
              <w:t>該系統</w:t>
            </w:r>
            <w:r w:rsidR="002E4E0F">
              <w:rPr>
                <w:rFonts w:ascii="新細明體" w:eastAsia="新細明體" w:hAnsi="新細明體" w:hint="eastAsia"/>
              </w:rPr>
              <w:t>，</w:t>
            </w:r>
            <w:r w:rsidR="00673ECD" w:rsidRPr="00673ECD">
              <w:rPr>
                <w:rFonts w:ascii="標楷體" w:eastAsia="標楷體" w:hAnsi="標楷體" w:hint="eastAsia"/>
              </w:rPr>
              <w:t>屬策略聯盟性質之合作關係</w:t>
            </w:r>
            <w:r w:rsidR="00673ECD">
              <w:rPr>
                <w:rFonts w:ascii="新細明體" w:eastAsia="新細明體" w:hAnsi="新細明體" w:hint="eastAsia"/>
              </w:rPr>
              <w:t>，</w:t>
            </w:r>
            <w:r w:rsidR="00673ECD" w:rsidRPr="00673ECD">
              <w:rPr>
                <w:rFonts w:ascii="標楷體" w:eastAsia="標楷體" w:hAnsi="標楷體" w:hint="eastAsia"/>
              </w:rPr>
              <w:t>非</w:t>
            </w:r>
            <w:r w:rsidR="002E4E0F">
              <w:rPr>
                <w:rFonts w:ascii="標楷體" w:eastAsia="標楷體" w:hAnsi="標楷體" w:hint="eastAsia"/>
              </w:rPr>
              <w:t>屬</w:t>
            </w:r>
            <w:r w:rsidR="00673ECD" w:rsidRPr="00673ECD">
              <w:rPr>
                <w:rFonts w:ascii="標楷體" w:eastAsia="標楷體" w:hAnsi="標楷體" w:hint="eastAsia"/>
              </w:rPr>
              <w:t>該系統</w:t>
            </w:r>
            <w:r w:rsidR="008E71EF">
              <w:rPr>
                <w:rFonts w:ascii="標楷體" w:eastAsia="標楷體" w:hAnsi="標楷體" w:hint="eastAsia"/>
              </w:rPr>
              <w:t>正式</w:t>
            </w:r>
            <w:r w:rsidR="00673ECD" w:rsidRPr="00673ECD">
              <w:rPr>
                <w:rFonts w:ascii="標楷體" w:eastAsia="標楷體" w:hAnsi="標楷體" w:hint="eastAsia"/>
              </w:rPr>
              <w:t>成員</w:t>
            </w:r>
            <w:r w:rsidRPr="00673ECD">
              <w:rPr>
                <w:rFonts w:ascii="標楷體" w:eastAsia="標楷體" w:hAnsi="標楷體" w:hint="eastAsia"/>
              </w:rPr>
              <w:t>。</w:t>
            </w:r>
          </w:p>
          <w:p w:rsidR="00F253EB" w:rsidRPr="00063F17" w:rsidRDefault="00673ECD" w:rsidP="00A72D9B">
            <w:pPr>
              <w:jc w:val="both"/>
              <w:rPr>
                <w:rFonts w:ascii="標楷體" w:eastAsia="標楷體" w:hAnsi="標楷體"/>
              </w:rPr>
            </w:pPr>
            <w:r>
              <w:rPr>
                <w:rFonts w:ascii="標楷體" w:eastAsia="標楷體" w:hAnsi="標楷體" w:hint="eastAsia"/>
              </w:rPr>
              <w:t>本校</w:t>
            </w:r>
            <w:r w:rsidR="003D2893">
              <w:rPr>
                <w:rFonts w:ascii="標楷體" w:eastAsia="標楷體" w:hAnsi="標楷體" w:hint="eastAsia"/>
              </w:rPr>
              <w:t>104年度預算</w:t>
            </w:r>
            <w:r w:rsidR="002E4E0F">
              <w:rPr>
                <w:rFonts w:ascii="標楷體" w:eastAsia="標楷體" w:hAnsi="標楷體" w:hint="eastAsia"/>
              </w:rPr>
              <w:t>未涉及</w:t>
            </w:r>
            <w:r w:rsidR="000D3B9E">
              <w:rPr>
                <w:rFonts w:ascii="標楷體" w:eastAsia="標楷體" w:hAnsi="標楷體" w:hint="eastAsia"/>
              </w:rPr>
              <w:t>相關</w:t>
            </w:r>
            <w:r w:rsidR="002E4E0F">
              <w:rPr>
                <w:rFonts w:ascii="標楷體" w:eastAsia="標楷體" w:hAnsi="標楷體" w:hint="eastAsia"/>
              </w:rPr>
              <w:t>經費</w:t>
            </w:r>
            <w:r w:rsidR="000D3B9E">
              <w:rPr>
                <w:rFonts w:ascii="新細明體" w:eastAsia="新細明體" w:hAnsi="新細明體" w:hint="eastAsia"/>
              </w:rPr>
              <w:t>，</w:t>
            </w:r>
            <w:r w:rsidR="003D4189">
              <w:rPr>
                <w:rFonts w:ascii="標楷體" w:eastAsia="標楷體" w:hAnsi="標楷體" w:hint="eastAsia"/>
                <w:szCs w:val="24"/>
              </w:rPr>
              <w:t>倘</w:t>
            </w:r>
            <w:r w:rsidR="00A72D9B">
              <w:rPr>
                <w:rFonts w:ascii="標楷體" w:eastAsia="標楷體" w:hAnsi="標楷體" w:hint="eastAsia"/>
                <w:szCs w:val="24"/>
              </w:rPr>
              <w:t>爾</w:t>
            </w:r>
            <w:r w:rsidR="003D2893">
              <w:rPr>
                <w:rFonts w:ascii="標楷體" w:eastAsia="標楷體" w:hAnsi="標楷體" w:hint="eastAsia"/>
                <w:szCs w:val="24"/>
              </w:rPr>
              <w:t>後加入該系統</w:t>
            </w:r>
            <w:r w:rsidR="00542CDD" w:rsidRPr="00673ECD">
              <w:rPr>
                <w:rFonts w:ascii="標楷體" w:eastAsia="標楷體" w:hAnsi="標楷體" w:hint="eastAsia"/>
              </w:rPr>
              <w:t>成員</w:t>
            </w:r>
            <w:r w:rsidR="003D2893">
              <w:rPr>
                <w:rFonts w:ascii="新細明體" w:eastAsia="新細明體" w:hAnsi="新細明體" w:hint="eastAsia"/>
              </w:rPr>
              <w:t>，</w:t>
            </w:r>
            <w:r w:rsidR="003D2893">
              <w:rPr>
                <w:rFonts w:ascii="標楷體" w:eastAsia="標楷體" w:hAnsi="標楷體" w:hint="eastAsia"/>
              </w:rPr>
              <w:t>將於</w:t>
            </w:r>
            <w:r w:rsidR="003D2893">
              <w:rPr>
                <w:rFonts w:ascii="標楷體" w:eastAsia="標楷體" w:hAnsi="標楷體" w:hint="eastAsia"/>
                <w:szCs w:val="24"/>
              </w:rPr>
              <w:t>預算書揭露</w:t>
            </w:r>
            <w:r w:rsidR="00365A84" w:rsidRPr="00063F17">
              <w:rPr>
                <w:rFonts w:ascii="標楷體" w:eastAsia="標楷體" w:hAnsi="標楷體" w:hint="eastAsia"/>
                <w:szCs w:val="24"/>
              </w:rPr>
              <w:t>大學系統所需</w:t>
            </w:r>
            <w:r w:rsidR="003D2893">
              <w:rPr>
                <w:rFonts w:ascii="標楷體" w:eastAsia="標楷體" w:hAnsi="標楷體" w:hint="eastAsia"/>
                <w:szCs w:val="24"/>
              </w:rPr>
              <w:t>相關經費</w:t>
            </w:r>
            <w:r w:rsidR="00365A84" w:rsidRPr="00063F17">
              <w:rPr>
                <w:rFonts w:ascii="標楷體" w:eastAsia="標楷體" w:hAnsi="標楷體" w:hint="eastAsia"/>
                <w:szCs w:val="24"/>
              </w:rPr>
              <w:t>收支</w:t>
            </w:r>
            <w:r w:rsidR="00CF5167">
              <w:rPr>
                <w:rFonts w:ascii="標楷體" w:eastAsia="標楷體" w:hAnsi="標楷體" w:hint="eastAsia"/>
              </w:rPr>
              <w:t>。</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t>8</w:t>
            </w:r>
          </w:p>
        </w:tc>
        <w:tc>
          <w:tcPr>
            <w:tcW w:w="4778" w:type="dxa"/>
            <w:shd w:val="clear" w:color="auto" w:fill="auto"/>
          </w:tcPr>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大學自治屬憲法學上所謂制度性保障（instutionelleGarantie），其內容經大法官釋字380、450、563等多號解釋闡明，包含大學之行政自主、課程自主、教授治校與學生自治等，其出發點皆為憲法第11條對講學自由之保障。查各國立大學皆編列有「公共關係費」，其由各大學首長支用，用途近似於一般行政機關之首長特別費，為各大學首長行政工作所衍生，非為大學行政自主之一環，應明列於各國立大學校務基金內，是各校校務基金預算書對此經費之說明，頗有不足。矧立法院教育及文化委員會就各國立大學2013年度校務基金進行初審時，已要求各大學自2014年度起，應於預算書中載明各該校公共關係費之支用資格、各支用者支用金額上限與前年度之決算結果等，以利預算審查機關查核監督，惟各大學仍未依之辦理。爰建請由教育部約集各大學就校務基金預算</w:t>
            </w:r>
            <w:r w:rsidRPr="00063F17">
              <w:rPr>
                <w:rFonts w:ascii="標楷體" w:eastAsia="標楷體" w:hAnsi="標楷體" w:hint="eastAsia"/>
                <w:szCs w:val="24"/>
              </w:rPr>
              <w:lastRenderedPageBreak/>
              <w:t>書如何揭露前開資訊進行研議，於3個月內將研議結果書面報告予立法院教育及文化委員會，並落實於往後年度預算書編製作業中。</w:t>
            </w:r>
          </w:p>
        </w:tc>
        <w:tc>
          <w:tcPr>
            <w:tcW w:w="4394" w:type="dxa"/>
            <w:shd w:val="clear" w:color="auto" w:fill="auto"/>
          </w:tcPr>
          <w:p w:rsidR="00F253EB" w:rsidRPr="00297B6F" w:rsidRDefault="00297B6F" w:rsidP="00A72D9B">
            <w:pPr>
              <w:jc w:val="both"/>
              <w:rPr>
                <w:rFonts w:ascii="標楷體" w:eastAsia="標楷體" w:hAnsi="標楷體"/>
              </w:rPr>
            </w:pPr>
            <w:r w:rsidRPr="00297B6F">
              <w:rPr>
                <w:rFonts w:ascii="標楷體" w:eastAsia="標楷體" w:hAnsi="標楷體" w:hint="eastAsia"/>
                <w:szCs w:val="24"/>
              </w:rPr>
              <w:lastRenderedPageBreak/>
              <w:t>本校已依</w:t>
            </w:r>
            <w:r w:rsidRPr="00297B6F">
              <w:rPr>
                <w:rFonts w:ascii="標楷體" w:eastAsia="標楷體" w:hAnsi="標楷體" w:hint="eastAsia"/>
              </w:rPr>
              <w:t>決議事項</w:t>
            </w:r>
            <w:r w:rsidR="00A72D9B">
              <w:rPr>
                <w:rFonts w:ascii="標楷體" w:eastAsia="標楷體" w:hAnsi="標楷體" w:hint="eastAsia"/>
              </w:rPr>
              <w:t>於編列</w:t>
            </w:r>
            <w:r w:rsidRPr="00297B6F">
              <w:rPr>
                <w:rFonts w:ascii="標楷體" w:eastAsia="標楷體" w:hAnsi="標楷體" w:hint="eastAsia"/>
                <w:szCs w:val="24"/>
              </w:rPr>
              <w:t>104年度</w:t>
            </w:r>
            <w:r w:rsidRPr="00297B6F">
              <w:rPr>
                <w:rFonts w:ascii="標楷體" w:eastAsia="標楷體" w:hAnsi="標楷體" w:hint="eastAsia"/>
              </w:rPr>
              <w:t>預算書</w:t>
            </w:r>
            <w:r w:rsidRPr="00297B6F">
              <w:rPr>
                <w:rFonts w:ascii="標楷體" w:eastAsia="標楷體" w:hAnsi="標楷體" w:hint="eastAsia"/>
                <w:szCs w:val="24"/>
              </w:rPr>
              <w:t>載明</w:t>
            </w:r>
            <w:r w:rsidR="00A72D9B">
              <w:rPr>
                <w:rFonts w:ascii="標楷體" w:eastAsia="標楷體" w:hAnsi="標楷體" w:hint="eastAsia"/>
                <w:szCs w:val="24"/>
              </w:rPr>
              <w:t>本</w:t>
            </w:r>
            <w:r w:rsidRPr="00297B6F">
              <w:rPr>
                <w:rFonts w:ascii="標楷體" w:eastAsia="標楷體" w:hAnsi="標楷體" w:hint="eastAsia"/>
                <w:szCs w:val="24"/>
              </w:rPr>
              <w:t>校公共關係費之支用資格、各支用者支用金額上限與前年度之決算結果，並於</w:t>
            </w:r>
            <w:r w:rsidR="00A72D9B">
              <w:rPr>
                <w:rFonts w:ascii="標楷體" w:eastAsia="標楷體" w:hAnsi="標楷體" w:hint="eastAsia"/>
                <w:szCs w:val="24"/>
              </w:rPr>
              <w:t>爾</w:t>
            </w:r>
            <w:r w:rsidRPr="00297B6F">
              <w:rPr>
                <w:rFonts w:ascii="標楷體" w:eastAsia="標楷體" w:hAnsi="標楷體" w:hint="eastAsia"/>
                <w:szCs w:val="24"/>
              </w:rPr>
              <w:t>後年度</w:t>
            </w:r>
            <w:r w:rsidR="00A72D9B">
              <w:rPr>
                <w:rFonts w:ascii="標楷體" w:eastAsia="標楷體" w:hAnsi="標楷體" w:hint="eastAsia"/>
                <w:szCs w:val="24"/>
              </w:rPr>
              <w:t>編列</w:t>
            </w:r>
            <w:r w:rsidRPr="00297B6F">
              <w:rPr>
                <w:rFonts w:ascii="標楷體" w:eastAsia="標楷體" w:hAnsi="標楷體" w:hint="eastAsia"/>
                <w:szCs w:val="24"/>
              </w:rPr>
              <w:t>預算書</w:t>
            </w:r>
            <w:r w:rsidR="00A72D9B">
              <w:rPr>
                <w:rFonts w:ascii="標楷體" w:eastAsia="標楷體" w:hAnsi="標楷體" w:hint="eastAsia"/>
                <w:szCs w:val="24"/>
              </w:rPr>
              <w:t>時</w:t>
            </w:r>
            <w:r w:rsidRPr="00297B6F">
              <w:rPr>
                <w:rFonts w:ascii="標楷體" w:eastAsia="標楷體" w:hAnsi="標楷體" w:hint="eastAsia"/>
                <w:szCs w:val="24"/>
              </w:rPr>
              <w:t>揭露。</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lastRenderedPageBreak/>
              <w:t>9</w:t>
            </w:r>
          </w:p>
        </w:tc>
        <w:tc>
          <w:tcPr>
            <w:tcW w:w="4778" w:type="dxa"/>
            <w:shd w:val="clear" w:color="auto" w:fill="auto"/>
          </w:tcPr>
          <w:p w:rsidR="00F253EB" w:rsidRPr="00063F17" w:rsidRDefault="00F253EB" w:rsidP="003443A0">
            <w:pPr>
              <w:jc w:val="both"/>
              <w:rPr>
                <w:rFonts w:ascii="標楷體" w:eastAsia="標楷體" w:hAnsi="標楷體"/>
                <w:szCs w:val="24"/>
              </w:rPr>
            </w:pPr>
            <w:r w:rsidRPr="00063F17">
              <w:rPr>
                <w:rFonts w:ascii="標楷體" w:eastAsia="標楷體" w:hAnsi="標楷體" w:hint="eastAsia"/>
                <w:szCs w:val="24"/>
              </w:rPr>
              <w:t>大專院校基於大學精神與學術自由之普遍價值，追求科學研究重視學術自由，學校教授之學術研究與兼職參與研究作業助理之學生勞動權益應依現行法令妥適辦理，尊重學生助理應有之勞動權益。教育部應正視此一問題，予以具體規範，提升為一制度性之規定。</w:t>
            </w:r>
          </w:p>
        </w:tc>
        <w:tc>
          <w:tcPr>
            <w:tcW w:w="4394" w:type="dxa"/>
            <w:shd w:val="clear" w:color="auto" w:fill="auto"/>
          </w:tcPr>
          <w:p w:rsidR="007F1B42" w:rsidRPr="007F1B42" w:rsidRDefault="007F1B42" w:rsidP="007F1B42">
            <w:pPr>
              <w:jc w:val="both"/>
              <w:rPr>
                <w:rFonts w:ascii="標楷體" w:eastAsia="標楷體" w:hAnsi="標楷體"/>
                <w:color w:val="000000" w:themeColor="text1"/>
                <w:szCs w:val="24"/>
              </w:rPr>
            </w:pPr>
            <w:r>
              <w:rPr>
                <w:rFonts w:ascii="標楷體" w:eastAsia="標楷體" w:hAnsi="標楷體" w:hint="eastAsia"/>
                <w:szCs w:val="24"/>
              </w:rPr>
              <w:t>依據教育部104年6月17日 訂頒「專科以上學校強化學生兼任助理學習與勞動權益保障處理原則」及勞動部104年6</w:t>
            </w:r>
            <w:r w:rsidRPr="007F1B42">
              <w:rPr>
                <w:rFonts w:ascii="標楷體" w:eastAsia="標楷體" w:hAnsi="標楷體" w:hint="eastAsia"/>
                <w:color w:val="000000" w:themeColor="text1"/>
                <w:szCs w:val="24"/>
              </w:rPr>
              <w:t>月17日頒布「專科以上學校兼任助理勞動權益保障指導原則」</w:t>
            </w:r>
            <w:r>
              <w:rPr>
                <w:rFonts w:ascii="標楷體" w:eastAsia="標楷體" w:hAnsi="標楷體" w:hint="eastAsia"/>
                <w:szCs w:val="24"/>
              </w:rPr>
              <w:t>本校</w:t>
            </w:r>
            <w:r w:rsidRPr="007F1B42">
              <w:rPr>
                <w:rFonts w:ascii="標楷體" w:eastAsia="標楷體" w:hAnsi="標楷體" w:hint="eastAsia"/>
                <w:color w:val="000000" w:themeColor="text1"/>
                <w:lang w:eastAsia="zh-CN"/>
              </w:rPr>
              <w:t>研擬</w:t>
            </w:r>
            <w:r w:rsidRPr="007F1B42">
              <w:rPr>
                <w:rFonts w:ascii="標楷體" w:eastAsia="標楷體" w:hAnsi="標楷體" w:hint="eastAsia"/>
                <w:color w:val="000000" w:themeColor="text1"/>
              </w:rPr>
              <w:t>建置配套機制</w:t>
            </w:r>
            <w:r w:rsidRPr="007F1B42">
              <w:rPr>
                <w:rFonts w:ascii="標楷體" w:eastAsia="標楷體" w:hAnsi="標楷體" w:hint="eastAsia"/>
                <w:color w:val="000000" w:themeColor="text1"/>
                <w:szCs w:val="24"/>
              </w:rPr>
              <w:t>。</w:t>
            </w:r>
          </w:p>
          <w:p w:rsidR="00F253EB" w:rsidRPr="00063F17" w:rsidRDefault="007F1B42" w:rsidP="007C79D5">
            <w:pPr>
              <w:rPr>
                <w:rFonts w:ascii="標楷體" w:eastAsia="標楷體" w:hAnsi="標楷體"/>
              </w:rPr>
            </w:pPr>
            <w:r w:rsidRPr="007F1B42">
              <w:rPr>
                <w:rFonts w:ascii="標楷體" w:eastAsia="標楷體" w:hAnsi="標楷體" w:hint="eastAsia"/>
                <w:color w:val="000000" w:themeColor="text1"/>
                <w:szCs w:val="24"/>
              </w:rPr>
              <w:t>依學習與勞動關係之不同分流管理，並建立相關</w:t>
            </w:r>
            <w:r>
              <w:rPr>
                <w:rFonts w:ascii="標楷體" w:eastAsia="標楷體" w:hAnsi="標楷體" w:hint="eastAsia"/>
                <w:color w:val="000000" w:themeColor="text1"/>
                <w:szCs w:val="24"/>
              </w:rPr>
              <w:t>規定及作</w:t>
            </w:r>
            <w:r w:rsidR="007C79D5">
              <w:rPr>
                <w:rFonts w:ascii="標楷體" w:eastAsia="標楷體" w:hAnsi="標楷體" w:hint="eastAsia"/>
                <w:color w:val="000000" w:themeColor="text1"/>
                <w:szCs w:val="24"/>
              </w:rPr>
              <w:t>業流程</w:t>
            </w:r>
            <w:r w:rsidRPr="007F1B42">
              <w:rPr>
                <w:rFonts w:ascii="標楷體" w:eastAsia="標楷體" w:hAnsi="標楷體" w:hint="eastAsia"/>
                <w:color w:val="000000" w:themeColor="text1"/>
                <w:szCs w:val="24"/>
              </w:rPr>
              <w:t>，以滿足師生教學與學習需求</w:t>
            </w:r>
            <w:r w:rsidRPr="00591199">
              <w:rPr>
                <w:rFonts w:ascii="標楷體" w:eastAsia="標楷體" w:hAnsi="標楷體" w:hint="eastAsia"/>
                <w:szCs w:val="24"/>
              </w:rPr>
              <w:t>，</w:t>
            </w:r>
            <w:r>
              <w:rPr>
                <w:rFonts w:ascii="標楷體" w:eastAsia="標楷體" w:hAnsi="標楷體" w:hint="eastAsia"/>
                <w:szCs w:val="24"/>
              </w:rPr>
              <w:t>同時</w:t>
            </w:r>
            <w:r w:rsidRPr="00591199">
              <w:rPr>
                <w:rFonts w:ascii="標楷體" w:eastAsia="標楷體" w:hAnsi="標楷體" w:hint="eastAsia"/>
                <w:szCs w:val="24"/>
              </w:rPr>
              <w:t>落實保障學生勞動權</w:t>
            </w:r>
            <w:r>
              <w:rPr>
                <w:rFonts w:ascii="標楷體" w:eastAsia="標楷體" w:hAnsi="標楷體" w:hint="eastAsia"/>
                <w:szCs w:val="24"/>
              </w:rPr>
              <w:t>益。</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t>10</w:t>
            </w:r>
          </w:p>
        </w:tc>
        <w:tc>
          <w:tcPr>
            <w:tcW w:w="4778" w:type="dxa"/>
            <w:shd w:val="clear" w:color="auto" w:fill="auto"/>
          </w:tcPr>
          <w:p w:rsidR="00F253EB" w:rsidRPr="00367844" w:rsidRDefault="00F253EB" w:rsidP="003443A0">
            <w:pPr>
              <w:jc w:val="both"/>
              <w:rPr>
                <w:rFonts w:ascii="標楷體" w:eastAsia="標楷體" w:hAnsi="標楷體" w:cs="新細明體"/>
                <w:szCs w:val="24"/>
              </w:rPr>
            </w:pPr>
            <w:r w:rsidRPr="00367844">
              <w:rPr>
                <w:rFonts w:ascii="標楷體" w:eastAsia="標楷體" w:hAnsi="標楷體" w:hint="eastAsia"/>
                <w:szCs w:val="24"/>
              </w:rPr>
              <w:t>教育部應全面檢視校園存在之勞動關係權益保障，不因學生身分而排除憲法及所有法律對勞動關係之權益保障。爰要求教育部責成各大學於聘僱「研究計畫兼任助理」、「臨時工」、「教學助理」及其他性質相近之學生助理身分時，應依勞基法及其他法規關於勞動條件及其他受僱人權益之規定妥為辦理。</w:t>
            </w:r>
          </w:p>
        </w:tc>
        <w:tc>
          <w:tcPr>
            <w:tcW w:w="4394" w:type="dxa"/>
            <w:shd w:val="clear" w:color="auto" w:fill="auto"/>
          </w:tcPr>
          <w:p w:rsidR="00F253EB" w:rsidRPr="00367844" w:rsidRDefault="00B870B5" w:rsidP="00882DD5">
            <w:pPr>
              <w:jc w:val="both"/>
              <w:rPr>
                <w:rFonts w:ascii="標楷體" w:eastAsia="標楷體" w:hAnsi="標楷體"/>
              </w:rPr>
            </w:pPr>
            <w:r>
              <w:rPr>
                <w:rFonts w:ascii="標楷體" w:eastAsia="標楷體" w:hAnsi="標楷體" w:hint="eastAsia"/>
              </w:rPr>
              <w:t>本校刻正依教育部「專科以上學校強化學生兼任助理學習與勞動權益保障處理原則」及勞動部「專科以上學校兼任助理勞動權益保障指導原則」</w:t>
            </w:r>
            <w:r>
              <w:rPr>
                <w:rFonts w:ascii="新細明體" w:eastAsia="新細明體" w:hAnsi="新細明體" w:hint="eastAsia"/>
              </w:rPr>
              <w:t>，</w:t>
            </w:r>
            <w:r>
              <w:rPr>
                <w:rFonts w:ascii="標楷體" w:eastAsia="標楷體" w:hAnsi="標楷體" w:hint="eastAsia"/>
              </w:rPr>
              <w:t>就聘僱各類學生、計畫</w:t>
            </w:r>
            <w:r w:rsidR="00882DD5">
              <w:rPr>
                <w:rFonts w:ascii="標楷體" w:eastAsia="標楷體" w:hAnsi="標楷體" w:hint="eastAsia"/>
              </w:rPr>
              <w:t>專</w:t>
            </w:r>
            <w:r w:rsidR="00882DD5">
              <w:rPr>
                <w:rFonts w:ascii="新細明體" w:eastAsia="新細明體" w:hAnsi="新細明體" w:hint="eastAsia"/>
              </w:rPr>
              <w:t>、</w:t>
            </w:r>
            <w:r>
              <w:rPr>
                <w:rFonts w:ascii="標楷體" w:eastAsia="標楷體" w:hAnsi="標楷體" w:hint="eastAsia"/>
              </w:rPr>
              <w:t>兼任助理及臨時工，依其類型屬性，由秘書室</w:t>
            </w:r>
            <w:r>
              <w:rPr>
                <w:rFonts w:ascii="新細明體" w:eastAsia="新細明體" w:hAnsi="新細明體" w:hint="eastAsia"/>
              </w:rPr>
              <w:t>、</w:t>
            </w:r>
            <w:r>
              <w:rPr>
                <w:rFonts w:ascii="標楷體" w:eastAsia="標楷體" w:hAnsi="標楷體" w:hint="eastAsia"/>
              </w:rPr>
              <w:t>研發處</w:t>
            </w:r>
            <w:r>
              <w:rPr>
                <w:rFonts w:ascii="新細明體" w:eastAsia="新細明體" w:hAnsi="新細明體" w:hint="eastAsia"/>
              </w:rPr>
              <w:t>、</w:t>
            </w:r>
            <w:r>
              <w:rPr>
                <w:rFonts w:ascii="標楷體" w:eastAsia="標楷體" w:hAnsi="標楷體" w:hint="eastAsia"/>
              </w:rPr>
              <w:t>教務處</w:t>
            </w:r>
            <w:r>
              <w:rPr>
                <w:rFonts w:ascii="新細明體" w:eastAsia="新細明體" w:hAnsi="新細明體" w:hint="eastAsia"/>
              </w:rPr>
              <w:t>、</w:t>
            </w:r>
            <w:r>
              <w:rPr>
                <w:rFonts w:ascii="標楷體" w:eastAsia="標楷體" w:hAnsi="標楷體" w:hint="eastAsia"/>
              </w:rPr>
              <w:t>人事室</w:t>
            </w:r>
            <w:r>
              <w:rPr>
                <w:rFonts w:ascii="新細明體" w:eastAsia="新細明體" w:hAnsi="新細明體" w:hint="eastAsia"/>
              </w:rPr>
              <w:t>、</w:t>
            </w:r>
            <w:r>
              <w:rPr>
                <w:rFonts w:ascii="標楷體" w:eastAsia="標楷體" w:hAnsi="標楷體" w:hint="eastAsia"/>
              </w:rPr>
              <w:t>主計室及圖資中心等相關單位依業務權責分工</w:t>
            </w:r>
            <w:r>
              <w:rPr>
                <w:rFonts w:ascii="新細明體" w:eastAsia="新細明體" w:hAnsi="新細明體" w:hint="eastAsia"/>
              </w:rPr>
              <w:t>，</w:t>
            </w:r>
            <w:r>
              <w:rPr>
                <w:rFonts w:ascii="標楷體" w:eastAsia="標楷體" w:hAnsi="標楷體" w:hint="eastAsia"/>
              </w:rPr>
              <w:t>研議校內規定及作業流程，納入勞工保險辦理，落實兼任助理應有之勞動權益保障</w:t>
            </w:r>
            <w:r>
              <w:rPr>
                <w:rFonts w:ascii="新細明體" w:eastAsia="新細明體" w:hAnsi="新細明體" w:hint="eastAsia"/>
              </w:rPr>
              <w:t>。</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t>11</w:t>
            </w:r>
          </w:p>
        </w:tc>
        <w:tc>
          <w:tcPr>
            <w:tcW w:w="4778" w:type="dxa"/>
            <w:shd w:val="clear" w:color="auto" w:fill="auto"/>
          </w:tcPr>
          <w:p w:rsidR="00F253EB" w:rsidRPr="00367844" w:rsidRDefault="00F253EB" w:rsidP="003443A0">
            <w:pPr>
              <w:jc w:val="both"/>
              <w:rPr>
                <w:rFonts w:ascii="標楷體" w:eastAsia="標楷體" w:hAnsi="標楷體" w:cs="新細明體"/>
                <w:szCs w:val="24"/>
              </w:rPr>
            </w:pPr>
            <w:r w:rsidRPr="00367844">
              <w:rPr>
                <w:rFonts w:ascii="標楷體" w:eastAsia="標楷體" w:hAnsi="標楷體" w:hint="eastAsia"/>
                <w:szCs w:val="24"/>
              </w:rPr>
              <w:t>鑑於國內身心障礙和特殊相關弱勢之學生，在高教求學體系中之學習環境與條件未臻理想，請教育部通案檢討特殊教育學生教學環境與條件之改善，並至立法院教育及文化委員會作專案報告。</w:t>
            </w:r>
          </w:p>
        </w:tc>
        <w:tc>
          <w:tcPr>
            <w:tcW w:w="4394" w:type="dxa"/>
            <w:shd w:val="clear" w:color="auto" w:fill="auto"/>
          </w:tcPr>
          <w:p w:rsidR="0026766D" w:rsidRPr="001E630E" w:rsidRDefault="0026766D" w:rsidP="0026766D">
            <w:pPr>
              <w:jc w:val="both"/>
              <w:rPr>
                <w:rFonts w:ascii="標楷體" w:eastAsia="標楷體" w:hAnsi="標楷體"/>
              </w:rPr>
            </w:pPr>
            <w:r w:rsidRPr="001E630E">
              <w:rPr>
                <w:rFonts w:ascii="標楷體" w:eastAsia="標楷體" w:hAnsi="標楷體" w:hint="eastAsia"/>
              </w:rPr>
              <w:t>本校協助身心障礙學生適應校園生活及課業學習，提供各項適性支持服務規畫及無障礙環境改善說明如下:</w:t>
            </w:r>
          </w:p>
          <w:p w:rsidR="0026766D" w:rsidRPr="0026766D" w:rsidRDefault="0026766D" w:rsidP="0016240C">
            <w:pPr>
              <w:pStyle w:val="ad"/>
              <w:numPr>
                <w:ilvl w:val="0"/>
                <w:numId w:val="10"/>
              </w:numPr>
              <w:ind w:leftChars="0" w:rightChars="-57" w:right="-137" w:hanging="559"/>
              <w:rPr>
                <w:rFonts w:ascii="標楷體" w:eastAsia="標楷體" w:hAnsi="標楷體"/>
              </w:rPr>
            </w:pPr>
            <w:r w:rsidRPr="0026766D">
              <w:rPr>
                <w:rFonts w:ascii="標楷體" w:eastAsia="標楷體" w:hAnsi="標楷體" w:hint="eastAsia"/>
              </w:rPr>
              <w:t>校園無障礙環境改善方面:本校委請相關專家學者就校內無障礙空間規劃，提供全校總體性改善之建議，並由總務處成立推動校園無障礙設施改善小組，進行校內總體無障礙環境的改善，於103學年度第1學期第1次特殊教育推行委員會通過校園無障礙空間改善案共6案，並於104年進行各項改善工程，包含校內多處無障礙坡道與通道之修繕、教學區教室門檻與門口座位拆除方便輪椅行動</w:t>
            </w:r>
            <w:r w:rsidRPr="0026766D">
              <w:rPr>
                <w:rFonts w:ascii="標楷體" w:eastAsia="標楷體" w:hAnsi="標楷體" w:hint="eastAsia"/>
              </w:rPr>
              <w:lastRenderedPageBreak/>
              <w:t>出入，以及校內減速丘之拆除等等，增進校內身障生出入教學環境及進行課業學習上的方便性及友善性。</w:t>
            </w:r>
          </w:p>
          <w:p w:rsidR="0026766D" w:rsidRPr="0016240C" w:rsidRDefault="0016240C" w:rsidP="0016240C">
            <w:pPr>
              <w:ind w:rightChars="-57" w:right="-137"/>
              <w:rPr>
                <w:rFonts w:ascii="標楷體" w:eastAsia="標楷體" w:hAnsi="標楷體"/>
              </w:rPr>
            </w:pPr>
            <w:r>
              <w:rPr>
                <w:rFonts w:ascii="標楷體" w:eastAsia="標楷體" w:hAnsi="標楷體" w:hint="eastAsia"/>
              </w:rPr>
              <w:t>二</w:t>
            </w:r>
            <w:r>
              <w:rPr>
                <w:rFonts w:ascii="新細明體" w:eastAsia="新細明體" w:hAnsi="新細明體" w:hint="eastAsia"/>
              </w:rPr>
              <w:t>、</w:t>
            </w:r>
            <w:r w:rsidR="0026766D" w:rsidRPr="0016240C">
              <w:rPr>
                <w:rFonts w:ascii="標楷體" w:eastAsia="標楷體" w:hAnsi="標楷體" w:hint="eastAsia"/>
              </w:rPr>
              <w:t>學生校園生活適應及學習輔具方面:</w:t>
            </w:r>
          </w:p>
          <w:p w:rsidR="0016240C" w:rsidRDefault="0026766D" w:rsidP="0016240C">
            <w:pPr>
              <w:pStyle w:val="ad"/>
              <w:ind w:leftChars="144" w:left="485" w:rightChars="-57" w:right="-137" w:hangingChars="58" w:hanging="139"/>
              <w:rPr>
                <w:rFonts w:ascii="標楷體" w:eastAsia="標楷體" w:hAnsi="標楷體"/>
              </w:rPr>
            </w:pPr>
            <w:r>
              <w:rPr>
                <w:rFonts w:ascii="標楷體" w:eastAsia="標楷體" w:hAnsi="標楷體" w:hint="eastAsia"/>
              </w:rPr>
              <w:t xml:space="preserve"> </w:t>
            </w:r>
            <w:r w:rsidRPr="001E630E">
              <w:rPr>
                <w:rFonts w:ascii="標楷體" w:eastAsia="標楷體" w:hAnsi="標楷體" w:hint="eastAsia"/>
              </w:rPr>
              <w:t>本校每學期定期調查校內身障生之</w:t>
            </w:r>
          </w:p>
          <w:p w:rsidR="00F253EB" w:rsidRPr="00367844" w:rsidRDefault="0016240C" w:rsidP="0016240C">
            <w:pPr>
              <w:pStyle w:val="ad"/>
              <w:ind w:leftChars="203" w:left="487" w:rightChars="-57" w:right="-137" w:firstLine="1"/>
              <w:rPr>
                <w:rFonts w:ascii="標楷體" w:eastAsia="標楷體" w:hAnsi="標楷體"/>
              </w:rPr>
            </w:pPr>
            <w:r w:rsidRPr="001E630E">
              <w:rPr>
                <w:rFonts w:ascii="標楷體" w:eastAsia="標楷體" w:hAnsi="標楷體" w:hint="eastAsia"/>
              </w:rPr>
              <w:t>輔</w:t>
            </w:r>
            <w:r w:rsidR="0026766D" w:rsidRPr="001E630E">
              <w:rPr>
                <w:rFonts w:ascii="標楷體" w:eastAsia="標楷體" w:hAnsi="標楷體" w:hint="eastAsia"/>
              </w:rPr>
              <w:t>具使用需求，以及協助視、聽障生進行視力及聽力檢查，並提供協助學生申請輔具中心之輔具服務，讓校內身障生能應其實際需求有效運用輔具資源。</w:t>
            </w:r>
          </w:p>
        </w:tc>
      </w:tr>
      <w:tr w:rsidR="00F253EB" w:rsidRPr="00063F17" w:rsidTr="003443A0">
        <w:tc>
          <w:tcPr>
            <w:tcW w:w="717" w:type="dxa"/>
            <w:shd w:val="clear" w:color="auto" w:fill="auto"/>
          </w:tcPr>
          <w:p w:rsidR="00F253EB" w:rsidRPr="00063F17" w:rsidRDefault="005F4943" w:rsidP="003443A0">
            <w:pPr>
              <w:jc w:val="center"/>
              <w:rPr>
                <w:rFonts w:ascii="標楷體" w:eastAsia="標楷體" w:hAnsi="標楷體"/>
                <w:szCs w:val="24"/>
              </w:rPr>
            </w:pPr>
            <w:r>
              <w:rPr>
                <w:rFonts w:ascii="標楷體" w:eastAsia="標楷體" w:hAnsi="標楷體" w:hint="eastAsia"/>
                <w:szCs w:val="24"/>
              </w:rPr>
              <w:lastRenderedPageBreak/>
              <w:t>12</w:t>
            </w:r>
          </w:p>
        </w:tc>
        <w:tc>
          <w:tcPr>
            <w:tcW w:w="4778" w:type="dxa"/>
            <w:shd w:val="clear" w:color="auto" w:fill="auto"/>
          </w:tcPr>
          <w:p w:rsidR="00F253EB" w:rsidRPr="00063F17" w:rsidRDefault="00F253EB" w:rsidP="003443A0">
            <w:pPr>
              <w:jc w:val="both"/>
              <w:rPr>
                <w:rFonts w:ascii="標楷體" w:eastAsia="標楷體" w:hAnsi="標楷體"/>
                <w:szCs w:val="24"/>
              </w:rPr>
            </w:pPr>
            <w:r w:rsidRPr="00063F17">
              <w:rPr>
                <w:rFonts w:ascii="標楷體" w:eastAsia="標楷體" w:hAnsi="標楷體" w:hint="eastAsia"/>
                <w:szCs w:val="24"/>
              </w:rPr>
              <w:t>為評估各大學校務基金執行之績效，教育部自100年度起將之納入大學校務評鑑辦理。大學校院校務評鑑之項目包括：學校自我定位、校務治理與經營、教學與學習資源、績效與社會責任、持續改善與品質保證機制等5大項，各校務基金之財務管理與營運績效等列入第2大項「校務治理與經營」之12項參考效標之一。惟查100年度辦理大學校務評鑑結果，對於部分短絀金額偏高大學校務基金之財務管理與營運績效，並未提出待改善事項或建議事項；或雖列為受評鑑大學之待改善事項，但改善成效不彰，甚至短絀逐年增加，國立大學校院校務基金從99年度決算短絀44億元，到103年度預算短絀達59.7億元。</w:t>
            </w:r>
          </w:p>
          <w:p w:rsidR="00F253EB" w:rsidRPr="00063F17" w:rsidRDefault="00F253EB" w:rsidP="003443A0">
            <w:pPr>
              <w:jc w:val="both"/>
              <w:rPr>
                <w:rFonts w:ascii="標楷體" w:eastAsia="標楷體" w:hAnsi="標楷體" w:cs="新細明體"/>
                <w:szCs w:val="24"/>
              </w:rPr>
            </w:pPr>
            <w:r w:rsidRPr="00063F17">
              <w:rPr>
                <w:rFonts w:ascii="標楷體" w:eastAsia="標楷體" w:hAnsi="標楷體" w:hint="eastAsia"/>
                <w:szCs w:val="24"/>
              </w:rPr>
              <w:t>鑑於大專校院必須有適足經費支應，方能擁有良好師資及教學設施，以確保學生學習品質及提升競爭力，爰要求教育部對各大學之校務評鑑應加強考核各校之財務管理與營運績效，以提升其開源節流成效。</w:t>
            </w:r>
          </w:p>
        </w:tc>
        <w:tc>
          <w:tcPr>
            <w:tcW w:w="4394" w:type="dxa"/>
            <w:shd w:val="clear" w:color="auto" w:fill="auto"/>
          </w:tcPr>
          <w:p w:rsidR="003F55FE" w:rsidRDefault="003F55FE" w:rsidP="003F55FE">
            <w:pPr>
              <w:snapToGrid w:val="0"/>
              <w:jc w:val="both"/>
              <w:rPr>
                <w:rFonts w:ascii="標楷體" w:eastAsia="標楷體" w:hAnsi="標楷體"/>
              </w:rPr>
            </w:pPr>
            <w:r w:rsidRPr="006C4BDB">
              <w:rPr>
                <w:rFonts w:eastAsia="標楷體" w:hAnsi="標楷體"/>
              </w:rPr>
              <w:t>為期有效改善校務基金短絀狀況，本校</w:t>
            </w:r>
            <w:r>
              <w:rPr>
                <w:rFonts w:eastAsia="標楷體" w:hAnsi="標楷體" w:hint="eastAsia"/>
              </w:rPr>
              <w:t>於</w:t>
            </w:r>
            <w:r>
              <w:rPr>
                <w:rFonts w:eastAsia="標楷體" w:hAnsi="標楷體" w:hint="eastAsia"/>
              </w:rPr>
              <w:t>102</w:t>
            </w:r>
            <w:r>
              <w:rPr>
                <w:rFonts w:eastAsia="標楷體" w:hAnsi="標楷體" w:hint="eastAsia"/>
              </w:rPr>
              <w:t>年</w:t>
            </w:r>
            <w:r>
              <w:rPr>
                <w:rFonts w:eastAsia="標楷體" w:hAnsi="標楷體" w:hint="eastAsia"/>
              </w:rPr>
              <w:t>5</w:t>
            </w:r>
            <w:r>
              <w:rPr>
                <w:rFonts w:eastAsia="標楷體" w:hAnsi="標楷體" w:hint="eastAsia"/>
              </w:rPr>
              <w:t>月</w:t>
            </w:r>
            <w:r>
              <w:rPr>
                <w:rFonts w:eastAsia="標楷體" w:hAnsi="標楷體" w:hint="eastAsia"/>
              </w:rPr>
              <w:t>8</w:t>
            </w:r>
            <w:r>
              <w:rPr>
                <w:rFonts w:eastAsia="標楷體" w:hAnsi="標楷體" w:hint="eastAsia"/>
              </w:rPr>
              <w:t>日起，</w:t>
            </w:r>
            <w:r w:rsidRPr="006C4BDB">
              <w:rPr>
                <w:rFonts w:eastAsia="標楷體" w:hAnsi="標楷體"/>
              </w:rPr>
              <w:t>由校長召集各行政單位一級主管與相關單位人員，</w:t>
            </w:r>
            <w:r>
              <w:rPr>
                <w:rFonts w:eastAsia="標楷體" w:hAnsi="標楷體" w:hint="eastAsia"/>
              </w:rPr>
              <w:t>不定期</w:t>
            </w:r>
            <w:r w:rsidRPr="006C4BDB">
              <w:rPr>
                <w:rFonts w:eastAsia="標楷體" w:hAnsi="標楷體"/>
              </w:rPr>
              <w:t>召開經費控管會議，研商推動必要之開源節流措施，</w:t>
            </w:r>
            <w:r>
              <w:rPr>
                <w:rFonts w:eastAsia="標楷體" w:hAnsi="標楷體" w:hint="eastAsia"/>
              </w:rPr>
              <w:t>經</w:t>
            </w:r>
            <w:r w:rsidRPr="006C4BDB">
              <w:rPr>
                <w:rFonts w:eastAsia="標楷體" w:hAnsi="標楷體"/>
              </w:rPr>
              <w:t>提報校務基金管理委員會審議通過，授權經費控管會議研訂相關辦法據以實施</w:t>
            </w:r>
            <w:r>
              <w:rPr>
                <w:rFonts w:ascii="標楷體" w:eastAsia="標楷體" w:hAnsi="標楷體" w:hint="eastAsia"/>
              </w:rPr>
              <w:t>，</w:t>
            </w:r>
            <w:r>
              <w:rPr>
                <w:rFonts w:eastAsia="標楷體" w:hAnsi="標楷體" w:hint="eastAsia"/>
              </w:rPr>
              <w:t>並責成有關單位核實檢討辦理</w:t>
            </w:r>
            <w:r>
              <w:rPr>
                <w:rFonts w:eastAsia="標楷體" w:hAnsi="標楷體"/>
              </w:rPr>
              <w:t>。</w:t>
            </w:r>
            <w:r>
              <w:rPr>
                <w:rFonts w:eastAsia="標楷體" w:hAnsi="標楷體" w:hint="eastAsia"/>
              </w:rPr>
              <w:t>迄今已推動教職員人事撙節暫行措施、部門預算減額分配、檢討</w:t>
            </w:r>
            <w:r w:rsidRPr="00F6179E">
              <w:rPr>
                <w:rFonts w:ascii="標楷體" w:eastAsia="標楷體" w:hAnsi="標楷體" w:hint="eastAsia"/>
              </w:rPr>
              <w:t>專任教師超支鐘點費</w:t>
            </w:r>
            <w:r>
              <w:rPr>
                <w:rFonts w:ascii="標楷體" w:eastAsia="標楷體" w:hAnsi="標楷體" w:hint="eastAsia"/>
              </w:rPr>
              <w:t>及研究生獎助學金之預算編列與</w:t>
            </w:r>
            <w:r w:rsidRPr="00F6179E">
              <w:rPr>
                <w:rFonts w:ascii="標楷體" w:eastAsia="標楷體" w:hAnsi="標楷體" w:hint="eastAsia"/>
              </w:rPr>
              <w:t>核發</w:t>
            </w:r>
            <w:r>
              <w:rPr>
                <w:rFonts w:ascii="標楷體" w:eastAsia="標楷體" w:hAnsi="標楷體" w:hint="eastAsia"/>
              </w:rPr>
              <w:t>、加強四省計畫節約措施及相關節能設備(施)之購建改善、推行資本門計畫預算定期檢討重分配機制、檢討修正院特色計畫等校內大型專案計畫之預算編列與執行等政策。</w:t>
            </w:r>
          </w:p>
          <w:p w:rsidR="003E77CB" w:rsidRPr="00063F17" w:rsidRDefault="003F55FE" w:rsidP="007F2E29">
            <w:pPr>
              <w:ind w:firstLineChars="10" w:firstLine="24"/>
              <w:jc w:val="both"/>
              <w:rPr>
                <w:rFonts w:ascii="標楷體" w:eastAsia="標楷體" w:hAnsi="標楷體" w:cs="新細明體"/>
                <w:kern w:val="0"/>
                <w:lang w:bidi="hi-IN"/>
              </w:rPr>
            </w:pPr>
            <w:r>
              <w:rPr>
                <w:rFonts w:ascii="標楷體" w:eastAsia="標楷體" w:hAnsi="標楷體" w:hint="eastAsia"/>
              </w:rPr>
              <w:t>經檢討至103年度為止，校務基金年度預決算雖仍為短絀，惟103年度決算短絀數已較預算預估短絀數減少1</w:t>
            </w:r>
            <w:r>
              <w:rPr>
                <w:rFonts w:ascii="標楷體" w:eastAsia="標楷體" w:hAnsi="標楷體"/>
              </w:rPr>
              <w:t>,</w:t>
            </w:r>
            <w:r>
              <w:rPr>
                <w:rFonts w:ascii="標楷體" w:eastAsia="標楷體" w:hAnsi="標楷體" w:hint="eastAsia"/>
              </w:rPr>
              <w:t>806萬4,520元，較102年度決算短絀數減少3</w:t>
            </w:r>
            <w:r>
              <w:rPr>
                <w:rFonts w:ascii="標楷體" w:eastAsia="標楷體" w:hAnsi="標楷體"/>
              </w:rPr>
              <w:t>,</w:t>
            </w:r>
            <w:r>
              <w:rPr>
                <w:rFonts w:ascii="標楷體" w:eastAsia="標楷體" w:hAnsi="標楷體" w:hint="eastAsia"/>
              </w:rPr>
              <w:t>810萬3,358元，且已終止決算短絀數逐年遞增之態勢，顯見相關開源節流措施對於改善校務基金財務收支失衡而言，已有初步具體成效。</w:t>
            </w:r>
          </w:p>
        </w:tc>
      </w:tr>
      <w:tr w:rsidR="00F253EB" w:rsidRPr="00A72D9B" w:rsidTr="003443A0">
        <w:tc>
          <w:tcPr>
            <w:tcW w:w="717" w:type="dxa"/>
            <w:shd w:val="clear" w:color="auto" w:fill="auto"/>
          </w:tcPr>
          <w:p w:rsidR="00F253EB" w:rsidRPr="00063F17" w:rsidRDefault="00F253EB" w:rsidP="003443A0">
            <w:pPr>
              <w:jc w:val="center"/>
              <w:rPr>
                <w:rFonts w:ascii="標楷體" w:eastAsia="標楷體" w:hAnsi="標楷體"/>
                <w:b/>
                <w:szCs w:val="24"/>
              </w:rPr>
            </w:pPr>
            <w:r w:rsidRPr="00063F17">
              <w:rPr>
                <w:rFonts w:ascii="標楷體" w:eastAsia="標楷體" w:hAnsi="標楷體" w:hint="eastAsia"/>
                <w:b/>
                <w:szCs w:val="24"/>
              </w:rPr>
              <w:t>(二)</w:t>
            </w:r>
          </w:p>
          <w:p w:rsidR="00F253EB" w:rsidRPr="00063F17" w:rsidRDefault="00F253EB" w:rsidP="003443A0">
            <w:pPr>
              <w:jc w:val="center"/>
              <w:rPr>
                <w:rFonts w:ascii="標楷體" w:eastAsia="標楷體" w:hAnsi="標楷體"/>
                <w:szCs w:val="24"/>
              </w:rPr>
            </w:pPr>
            <w:r w:rsidRPr="00063F17">
              <w:rPr>
                <w:rFonts w:ascii="標楷體" w:eastAsia="標楷體" w:hAnsi="標楷體" w:hint="eastAsia"/>
                <w:szCs w:val="24"/>
              </w:rPr>
              <w:t>1</w:t>
            </w:r>
          </w:p>
        </w:tc>
        <w:tc>
          <w:tcPr>
            <w:tcW w:w="4778" w:type="dxa"/>
            <w:shd w:val="clear" w:color="auto" w:fill="auto"/>
          </w:tcPr>
          <w:p w:rsidR="005F4943" w:rsidRPr="00063F17" w:rsidRDefault="005F4943" w:rsidP="005F4943">
            <w:pPr>
              <w:jc w:val="both"/>
              <w:rPr>
                <w:rFonts w:ascii="標楷體" w:eastAsia="標楷體" w:hAnsi="標楷體"/>
                <w:b/>
                <w:szCs w:val="24"/>
              </w:rPr>
            </w:pPr>
            <w:r w:rsidRPr="00063F17">
              <w:rPr>
                <w:rFonts w:ascii="標楷體" w:eastAsia="標楷體" w:hAnsi="標楷體" w:hint="eastAsia"/>
                <w:b/>
                <w:szCs w:val="24"/>
              </w:rPr>
              <w:t>國立東華大學校務基金</w:t>
            </w:r>
          </w:p>
          <w:p w:rsidR="00F253EB" w:rsidRPr="00063F17" w:rsidRDefault="005F4943" w:rsidP="005F4943">
            <w:pPr>
              <w:jc w:val="both"/>
              <w:rPr>
                <w:rFonts w:ascii="標楷體" w:eastAsia="標楷體" w:hAnsi="標楷體"/>
                <w:szCs w:val="24"/>
              </w:rPr>
            </w:pPr>
            <w:r w:rsidRPr="00063F17">
              <w:rPr>
                <w:rFonts w:ascii="標楷體" w:eastAsia="標楷體" w:hAnsi="標楷體" w:hint="eastAsia"/>
                <w:szCs w:val="24"/>
              </w:rPr>
              <w:t>為避免民眾在公共場所活動發生災害，我國建築法規定，供公眾使用之建築物，包括政府機關，應依建築法實施建築物安全檢查申報，以維護大眾安全；惟，經查國立東華大學部分建築物如研究生第一宿舍、短期教授</w:t>
            </w:r>
            <w:r w:rsidRPr="00063F17">
              <w:rPr>
                <w:rFonts w:ascii="標楷體" w:eastAsia="標楷體" w:hAnsi="標楷體" w:hint="eastAsia"/>
                <w:szCs w:val="24"/>
              </w:rPr>
              <w:lastRenderedPageBreak/>
              <w:t>招待所、學人第一宿舍等，公共安全檢查逾期尚未申報；此外，該校101年度建物公共安全申報案件被核定不合格者，仍有部分未經審核通過，為維護學校師生安全，該校應立即針對校區建築物進行全面性之公共安全檢驗、申報及改善工作，並於1個月內向立法院教育及文化委員會提出書面改善計畫。</w:t>
            </w:r>
          </w:p>
        </w:tc>
        <w:tc>
          <w:tcPr>
            <w:tcW w:w="4394" w:type="dxa"/>
            <w:shd w:val="clear" w:color="auto" w:fill="auto"/>
          </w:tcPr>
          <w:p w:rsidR="00F253EB" w:rsidRDefault="00F253EB" w:rsidP="003443A0">
            <w:pPr>
              <w:jc w:val="both"/>
              <w:rPr>
                <w:rFonts w:ascii="標楷體" w:eastAsia="標楷體" w:hAnsi="標楷體"/>
              </w:rPr>
            </w:pPr>
          </w:p>
          <w:p w:rsidR="00F253EB" w:rsidRDefault="006E6C00" w:rsidP="00A72D9B">
            <w:pPr>
              <w:pStyle w:val="a8"/>
              <w:ind w:left="2"/>
              <w:rPr>
                <w:rFonts w:ascii="新細明體" w:eastAsia="新細明體" w:hAnsi="新細明體"/>
                <w:color w:val="000000"/>
              </w:rPr>
            </w:pPr>
            <w:r>
              <w:rPr>
                <w:rFonts w:ascii="標楷體" w:eastAsia="標楷體" w:hAnsi="標楷體" w:hint="eastAsia"/>
                <w:color w:val="000000"/>
              </w:rPr>
              <w:t>本校書面改善計畫</w:t>
            </w:r>
            <w:r w:rsidR="001618A6">
              <w:rPr>
                <w:rFonts w:ascii="標楷體" w:eastAsia="標楷體" w:hAnsi="標楷體" w:hint="eastAsia"/>
                <w:color w:val="000000"/>
              </w:rPr>
              <w:t>於104年3月5日</w:t>
            </w:r>
            <w:r w:rsidR="00423A5D">
              <w:rPr>
                <w:rFonts w:ascii="標楷體" w:eastAsia="標楷體" w:hAnsi="標楷體" w:hint="eastAsia"/>
                <w:color w:val="000000"/>
              </w:rPr>
              <w:t>東主字第1040003558號</w:t>
            </w:r>
            <w:r>
              <w:rPr>
                <w:rFonts w:ascii="標楷體" w:eastAsia="標楷體" w:hAnsi="標楷體" w:hint="eastAsia"/>
                <w:color w:val="000000"/>
              </w:rPr>
              <w:t>函覆教育部轉呈立法院</w:t>
            </w:r>
            <w:r w:rsidR="00934569">
              <w:rPr>
                <w:rFonts w:ascii="新細明體" w:eastAsia="新細明體" w:hAnsi="新細明體" w:hint="eastAsia"/>
                <w:color w:val="000000"/>
              </w:rPr>
              <w:t>，</w:t>
            </w:r>
            <w:r w:rsidR="00A72D9B">
              <w:rPr>
                <w:rFonts w:ascii="標楷體" w:eastAsia="標楷體" w:hAnsi="標楷體" w:hint="eastAsia"/>
                <w:color w:val="000000"/>
              </w:rPr>
              <w:t>並於104年8月委由專業建築師事務所辦理本校學生宿舍仰山莊及教學區共同科學大樓進行公共安全檢查申報</w:t>
            </w:r>
          </w:p>
          <w:p w:rsidR="00A72D9B" w:rsidRPr="00A72D9B" w:rsidRDefault="00A72D9B" w:rsidP="00A72D9B">
            <w:pPr>
              <w:pStyle w:val="a8"/>
              <w:ind w:left="2"/>
              <w:rPr>
                <w:rFonts w:ascii="標楷體" w:eastAsia="標楷體" w:hAnsi="標楷體"/>
                <w:color w:val="FF0000"/>
              </w:rPr>
            </w:pPr>
            <w:r>
              <w:rPr>
                <w:rFonts w:ascii="新細明體" w:eastAsia="新細明體" w:hAnsi="新細明體" w:hint="eastAsia"/>
                <w:color w:val="000000"/>
              </w:rPr>
              <w:lastRenderedPageBreak/>
              <w:t>。</w:t>
            </w:r>
          </w:p>
        </w:tc>
      </w:tr>
    </w:tbl>
    <w:p w:rsidR="00E75664" w:rsidRPr="00063F17" w:rsidRDefault="00E75664" w:rsidP="00E75664">
      <w:pPr>
        <w:rPr>
          <w:rFonts w:ascii="標楷體" w:eastAsia="標楷體" w:hAnsi="標楷體"/>
        </w:rPr>
      </w:pPr>
    </w:p>
    <w:sectPr w:rsidR="00E75664" w:rsidRPr="00063F17" w:rsidSect="00A41C1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31C" w:rsidRDefault="00D7731C" w:rsidP="00E75664">
      <w:r>
        <w:separator/>
      </w:r>
    </w:p>
  </w:endnote>
  <w:endnote w:type="continuationSeparator" w:id="0">
    <w:p w:rsidR="00D7731C" w:rsidRDefault="00D7731C" w:rsidP="00E75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31C" w:rsidRDefault="00D7731C" w:rsidP="00E75664">
      <w:r>
        <w:separator/>
      </w:r>
    </w:p>
  </w:footnote>
  <w:footnote w:type="continuationSeparator" w:id="0">
    <w:p w:rsidR="00D7731C" w:rsidRDefault="00D7731C" w:rsidP="00E756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E75F9"/>
    <w:multiLevelType w:val="hybridMultilevel"/>
    <w:tmpl w:val="822A2B3E"/>
    <w:lvl w:ilvl="0" w:tplc="4E543C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E7799D"/>
    <w:multiLevelType w:val="hybridMultilevel"/>
    <w:tmpl w:val="25C66ADC"/>
    <w:lvl w:ilvl="0" w:tplc="05CCB7B6">
      <w:start w:val="1"/>
      <w:numFmt w:val="decimal"/>
      <w:lvlText w:val="（%1）"/>
      <w:lvlJc w:val="left"/>
      <w:pPr>
        <w:ind w:left="360" w:hanging="360"/>
      </w:pPr>
      <w:rPr>
        <w:rFonts w:ascii="Times New Roman" w:eastAsia="標楷體" w:hAnsi="Times New Roman"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E7A621C"/>
    <w:multiLevelType w:val="hybridMultilevel"/>
    <w:tmpl w:val="3BEEAC6C"/>
    <w:lvl w:ilvl="0" w:tplc="1472C4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0213705"/>
    <w:multiLevelType w:val="hybridMultilevel"/>
    <w:tmpl w:val="F05CADD4"/>
    <w:lvl w:ilvl="0" w:tplc="35DECEC4">
      <w:start w:val="1"/>
      <w:numFmt w:val="taiwaneseCountingThousand"/>
      <w:lvlText w:val="%1、"/>
      <w:lvlJc w:val="left"/>
      <w:pPr>
        <w:ind w:left="360" w:hanging="36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DB24B6A"/>
    <w:multiLevelType w:val="hybridMultilevel"/>
    <w:tmpl w:val="353454B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FB27F17"/>
    <w:multiLevelType w:val="multilevel"/>
    <w:tmpl w:val="C8781AAA"/>
    <w:lvl w:ilvl="0">
      <w:start w:val="1"/>
      <w:numFmt w:val="taiwaneseCountingThousand"/>
      <w:pStyle w:val="a"/>
      <w:suff w:val="nothing"/>
      <w:lvlText w:val="%1、"/>
      <w:lvlJc w:val="left"/>
      <w:pPr>
        <w:ind w:left="890" w:hanging="606"/>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suff w:val="nothing"/>
      <w:lvlText w:val="（%2）"/>
      <w:lvlJc w:val="left"/>
      <w:pPr>
        <w:ind w:left="1531" w:hanging="907"/>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FullWidth"/>
      <w:suff w:val="nothing"/>
      <w:lvlText w:val="%3、"/>
      <w:lvlJc w:val="left"/>
      <w:pPr>
        <w:ind w:left="1537" w:hanging="601"/>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4）"/>
      <w:lvlJc w:val="left"/>
      <w:pPr>
        <w:ind w:left="2172" w:hanging="896"/>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ideographTraditional"/>
      <w:suff w:val="nothing"/>
      <w:lvlText w:val="%5、"/>
      <w:lvlJc w:val="left"/>
      <w:pPr>
        <w:ind w:left="2172" w:hanging="590"/>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ideographTraditional"/>
      <w:suff w:val="nothing"/>
      <w:lvlText w:val="（%6）"/>
      <w:lvlJc w:val="left"/>
      <w:pPr>
        <w:ind w:left="2778" w:hanging="907"/>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ideographZodiac"/>
      <w:lvlText w:val="%7、"/>
      <w:lvlJc w:val="left"/>
      <w:pPr>
        <w:tabs>
          <w:tab w:val="num" w:pos="3827"/>
        </w:tabs>
        <w:ind w:left="3827" w:hanging="1276"/>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ideographZodiac"/>
      <w:lvlText w:val="（%8）"/>
      <w:lvlJc w:val="left"/>
      <w:pPr>
        <w:tabs>
          <w:tab w:val="num" w:pos="4394"/>
        </w:tabs>
        <w:ind w:left="4394" w:hanging="1418"/>
      </w:pPr>
      <w:rPr>
        <w:rFonts w:ascii="標楷體" w:eastAsia="標楷體" w:hint="eastAsia"/>
        <w:b w:val="0"/>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lvlText w:val=""/>
      <w:lvlJc w:val="left"/>
      <w:pPr>
        <w:tabs>
          <w:tab w:val="num" w:pos="5102"/>
        </w:tabs>
        <w:ind w:left="5102" w:hanging="1700"/>
      </w:pPr>
      <w:rPr>
        <w:rFonts w:hint="eastAsia"/>
      </w:rPr>
    </w:lvl>
  </w:abstractNum>
  <w:abstractNum w:abstractNumId="6">
    <w:nsid w:val="444D050E"/>
    <w:multiLevelType w:val="hybridMultilevel"/>
    <w:tmpl w:val="782E212C"/>
    <w:lvl w:ilvl="0" w:tplc="6172B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015A11"/>
    <w:multiLevelType w:val="hybridMultilevel"/>
    <w:tmpl w:val="782E212C"/>
    <w:lvl w:ilvl="0" w:tplc="6172B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B611E87"/>
    <w:multiLevelType w:val="hybridMultilevel"/>
    <w:tmpl w:val="A600D980"/>
    <w:lvl w:ilvl="0" w:tplc="9BF46FC6">
      <w:start w:val="1"/>
      <w:numFmt w:val="taiwaneseCountingThousand"/>
      <w:lvlText w:val="%1、"/>
      <w:lvlJc w:val="left"/>
      <w:pPr>
        <w:ind w:left="480" w:hanging="480"/>
      </w:pPr>
      <w:rPr>
        <w:rFonts w:ascii="Calibri" w:eastAsia="標楷體" w:hAnsi="Calibri"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D904016"/>
    <w:multiLevelType w:val="hybridMultilevel"/>
    <w:tmpl w:val="004E14AC"/>
    <w:lvl w:ilvl="0" w:tplc="73200E96">
      <w:start w:val="1"/>
      <w:numFmt w:val="taiwaneseCountingThousand"/>
      <w:lvlText w:val="%1、"/>
      <w:lvlJc w:val="left"/>
      <w:pPr>
        <w:ind w:left="1006" w:hanging="720"/>
      </w:pPr>
      <w:rPr>
        <w:rFonts w:ascii="Times New Roman" w:hAnsi="標楷體" w:hint="default"/>
        <w:lang w:val="en-US"/>
      </w:rPr>
    </w:lvl>
    <w:lvl w:ilvl="1" w:tplc="A52C2CB0">
      <w:start w:val="1"/>
      <w:numFmt w:val="taiwaneseCountingThousand"/>
      <w:lvlText w:val="(%2)"/>
      <w:lvlJc w:val="left"/>
      <w:pPr>
        <w:ind w:left="1486" w:hanging="720"/>
      </w:pPr>
      <w:rPr>
        <w:rFonts w:hint="default"/>
      </w:r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nsid w:val="6E947B9E"/>
    <w:multiLevelType w:val="hybridMultilevel"/>
    <w:tmpl w:val="A4442EEA"/>
    <w:lvl w:ilvl="0" w:tplc="8A0C6D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8"/>
  </w:num>
  <w:num w:numId="5">
    <w:abstractNumId w:val="2"/>
  </w:num>
  <w:num w:numId="6">
    <w:abstractNumId w:val="9"/>
  </w:num>
  <w:num w:numId="7">
    <w:abstractNumId w:val="10"/>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EE"/>
    <w:rsid w:val="00032537"/>
    <w:rsid w:val="00063F17"/>
    <w:rsid w:val="0006638E"/>
    <w:rsid w:val="00072AE3"/>
    <w:rsid w:val="000900E2"/>
    <w:rsid w:val="000915B3"/>
    <w:rsid w:val="000964D9"/>
    <w:rsid w:val="00096ADB"/>
    <w:rsid w:val="000A1CE4"/>
    <w:rsid w:val="000A695D"/>
    <w:rsid w:val="000B7BB8"/>
    <w:rsid w:val="000D3B9E"/>
    <w:rsid w:val="000E57E7"/>
    <w:rsid w:val="000F4F8A"/>
    <w:rsid w:val="00110612"/>
    <w:rsid w:val="00121087"/>
    <w:rsid w:val="00137773"/>
    <w:rsid w:val="00141900"/>
    <w:rsid w:val="00143C10"/>
    <w:rsid w:val="001618A6"/>
    <w:rsid w:val="0016240C"/>
    <w:rsid w:val="0016689A"/>
    <w:rsid w:val="00174AC0"/>
    <w:rsid w:val="0017741F"/>
    <w:rsid w:val="001836A0"/>
    <w:rsid w:val="001A4EF6"/>
    <w:rsid w:val="001D1F5E"/>
    <w:rsid w:val="001D3FFD"/>
    <w:rsid w:val="00207F87"/>
    <w:rsid w:val="00225334"/>
    <w:rsid w:val="002514C0"/>
    <w:rsid w:val="0026766D"/>
    <w:rsid w:val="00291683"/>
    <w:rsid w:val="00292CF2"/>
    <w:rsid w:val="00297B6F"/>
    <w:rsid w:val="002E4E0F"/>
    <w:rsid w:val="002F1AFF"/>
    <w:rsid w:val="00307C8D"/>
    <w:rsid w:val="00315796"/>
    <w:rsid w:val="00315BF9"/>
    <w:rsid w:val="003443A0"/>
    <w:rsid w:val="00365A84"/>
    <w:rsid w:val="00367844"/>
    <w:rsid w:val="00372156"/>
    <w:rsid w:val="00392959"/>
    <w:rsid w:val="003A6DB2"/>
    <w:rsid w:val="003B26F6"/>
    <w:rsid w:val="003B6FD4"/>
    <w:rsid w:val="003B795F"/>
    <w:rsid w:val="003D1FE9"/>
    <w:rsid w:val="003D2893"/>
    <w:rsid w:val="003D4189"/>
    <w:rsid w:val="003D7591"/>
    <w:rsid w:val="003E77CB"/>
    <w:rsid w:val="003F55FE"/>
    <w:rsid w:val="00423A5D"/>
    <w:rsid w:val="004332B5"/>
    <w:rsid w:val="00433778"/>
    <w:rsid w:val="0043750A"/>
    <w:rsid w:val="004564A9"/>
    <w:rsid w:val="0049324B"/>
    <w:rsid w:val="004963E1"/>
    <w:rsid w:val="004B20F5"/>
    <w:rsid w:val="004C36DB"/>
    <w:rsid w:val="00504E57"/>
    <w:rsid w:val="0052544C"/>
    <w:rsid w:val="00532243"/>
    <w:rsid w:val="00535C6F"/>
    <w:rsid w:val="00542CDD"/>
    <w:rsid w:val="00590E17"/>
    <w:rsid w:val="00593560"/>
    <w:rsid w:val="005A7D77"/>
    <w:rsid w:val="005B49EB"/>
    <w:rsid w:val="005F4943"/>
    <w:rsid w:val="00602123"/>
    <w:rsid w:val="00610111"/>
    <w:rsid w:val="00626342"/>
    <w:rsid w:val="00644905"/>
    <w:rsid w:val="0064751A"/>
    <w:rsid w:val="00654715"/>
    <w:rsid w:val="0065485F"/>
    <w:rsid w:val="00664B17"/>
    <w:rsid w:val="00666506"/>
    <w:rsid w:val="00673ECD"/>
    <w:rsid w:val="006871CB"/>
    <w:rsid w:val="006A1488"/>
    <w:rsid w:val="006D3D88"/>
    <w:rsid w:val="006E6C00"/>
    <w:rsid w:val="006F61BF"/>
    <w:rsid w:val="00704A10"/>
    <w:rsid w:val="00722826"/>
    <w:rsid w:val="00775E69"/>
    <w:rsid w:val="00793DDC"/>
    <w:rsid w:val="00795E75"/>
    <w:rsid w:val="007C79D5"/>
    <w:rsid w:val="007E565B"/>
    <w:rsid w:val="007F1B42"/>
    <w:rsid w:val="007F2E29"/>
    <w:rsid w:val="007F559F"/>
    <w:rsid w:val="008349E2"/>
    <w:rsid w:val="00835609"/>
    <w:rsid w:val="00841A52"/>
    <w:rsid w:val="00844009"/>
    <w:rsid w:val="0084659F"/>
    <w:rsid w:val="00855680"/>
    <w:rsid w:val="008567C5"/>
    <w:rsid w:val="008625D7"/>
    <w:rsid w:val="00865EDE"/>
    <w:rsid w:val="008724BF"/>
    <w:rsid w:val="00873C19"/>
    <w:rsid w:val="00882DD5"/>
    <w:rsid w:val="00887A99"/>
    <w:rsid w:val="008C1C46"/>
    <w:rsid w:val="008C55D6"/>
    <w:rsid w:val="008E71EF"/>
    <w:rsid w:val="008F59D4"/>
    <w:rsid w:val="00903E82"/>
    <w:rsid w:val="00934569"/>
    <w:rsid w:val="009377B9"/>
    <w:rsid w:val="009A0B19"/>
    <w:rsid w:val="009D1272"/>
    <w:rsid w:val="009D72EE"/>
    <w:rsid w:val="009E2B10"/>
    <w:rsid w:val="009F1989"/>
    <w:rsid w:val="009F51F7"/>
    <w:rsid w:val="00A11DEE"/>
    <w:rsid w:val="00A16DB6"/>
    <w:rsid w:val="00A30AE7"/>
    <w:rsid w:val="00A41C16"/>
    <w:rsid w:val="00A42EDC"/>
    <w:rsid w:val="00A6631D"/>
    <w:rsid w:val="00A72D9B"/>
    <w:rsid w:val="00A76BF3"/>
    <w:rsid w:val="00AB441B"/>
    <w:rsid w:val="00AF1829"/>
    <w:rsid w:val="00B35E99"/>
    <w:rsid w:val="00B42811"/>
    <w:rsid w:val="00B57760"/>
    <w:rsid w:val="00B870B5"/>
    <w:rsid w:val="00BB3F9B"/>
    <w:rsid w:val="00BE2F9E"/>
    <w:rsid w:val="00CE3E76"/>
    <w:rsid w:val="00CF015E"/>
    <w:rsid w:val="00CF5167"/>
    <w:rsid w:val="00CF5C33"/>
    <w:rsid w:val="00D071F9"/>
    <w:rsid w:val="00D338D7"/>
    <w:rsid w:val="00D37C7E"/>
    <w:rsid w:val="00D403AE"/>
    <w:rsid w:val="00D51E0A"/>
    <w:rsid w:val="00D7731C"/>
    <w:rsid w:val="00D9667F"/>
    <w:rsid w:val="00DA08A0"/>
    <w:rsid w:val="00DA6BE0"/>
    <w:rsid w:val="00DD4605"/>
    <w:rsid w:val="00E02EDE"/>
    <w:rsid w:val="00E16249"/>
    <w:rsid w:val="00E678DB"/>
    <w:rsid w:val="00E73B2C"/>
    <w:rsid w:val="00E75664"/>
    <w:rsid w:val="00E877DF"/>
    <w:rsid w:val="00EA0B59"/>
    <w:rsid w:val="00EE0268"/>
    <w:rsid w:val="00EE555B"/>
    <w:rsid w:val="00F079BD"/>
    <w:rsid w:val="00F07F76"/>
    <w:rsid w:val="00F13EAA"/>
    <w:rsid w:val="00F21A0C"/>
    <w:rsid w:val="00F253EB"/>
    <w:rsid w:val="00F45E1F"/>
    <w:rsid w:val="00F6775F"/>
    <w:rsid w:val="00F76E58"/>
    <w:rsid w:val="00F828E2"/>
    <w:rsid w:val="00F91145"/>
    <w:rsid w:val="00FB7A23"/>
    <w:rsid w:val="00FC278E"/>
    <w:rsid w:val="00FC5A96"/>
    <w:rsid w:val="00FE14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2">
    <w:name w:val="heading 2"/>
    <w:basedOn w:val="a0"/>
    <w:next w:val="a0"/>
    <w:link w:val="20"/>
    <w:uiPriority w:val="9"/>
    <w:semiHidden/>
    <w:unhideWhenUsed/>
    <w:qFormat/>
    <w:rsid w:val="00E75664"/>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75664"/>
    <w:pPr>
      <w:tabs>
        <w:tab w:val="center" w:pos="4153"/>
        <w:tab w:val="right" w:pos="8306"/>
      </w:tabs>
      <w:snapToGrid w:val="0"/>
    </w:pPr>
    <w:rPr>
      <w:sz w:val="20"/>
      <w:szCs w:val="20"/>
    </w:rPr>
  </w:style>
  <w:style w:type="character" w:customStyle="1" w:styleId="a5">
    <w:name w:val="頁首 字元"/>
    <w:basedOn w:val="a1"/>
    <w:link w:val="a4"/>
    <w:uiPriority w:val="99"/>
    <w:rsid w:val="00E75664"/>
    <w:rPr>
      <w:sz w:val="20"/>
      <w:szCs w:val="20"/>
    </w:rPr>
  </w:style>
  <w:style w:type="paragraph" w:styleId="a6">
    <w:name w:val="footer"/>
    <w:basedOn w:val="a0"/>
    <w:link w:val="a7"/>
    <w:uiPriority w:val="99"/>
    <w:unhideWhenUsed/>
    <w:rsid w:val="00E75664"/>
    <w:pPr>
      <w:tabs>
        <w:tab w:val="center" w:pos="4153"/>
        <w:tab w:val="right" w:pos="8306"/>
      </w:tabs>
      <w:snapToGrid w:val="0"/>
    </w:pPr>
    <w:rPr>
      <w:sz w:val="20"/>
      <w:szCs w:val="20"/>
    </w:rPr>
  </w:style>
  <w:style w:type="character" w:customStyle="1" w:styleId="a7">
    <w:name w:val="頁尾 字元"/>
    <w:basedOn w:val="a1"/>
    <w:link w:val="a6"/>
    <w:uiPriority w:val="99"/>
    <w:rsid w:val="00E75664"/>
    <w:rPr>
      <w:sz w:val="20"/>
      <w:szCs w:val="20"/>
    </w:rPr>
  </w:style>
  <w:style w:type="paragraph" w:styleId="a8">
    <w:name w:val="Plain Text"/>
    <w:basedOn w:val="a0"/>
    <w:link w:val="a9"/>
    <w:uiPriority w:val="99"/>
    <w:rsid w:val="00E75664"/>
    <w:rPr>
      <w:rFonts w:ascii="細明體" w:eastAsia="細明體" w:hAnsi="Courier New" w:cs="Times New Roman"/>
      <w:szCs w:val="20"/>
    </w:rPr>
  </w:style>
  <w:style w:type="character" w:customStyle="1" w:styleId="a9">
    <w:name w:val="純文字 字元"/>
    <w:basedOn w:val="a1"/>
    <w:link w:val="a8"/>
    <w:uiPriority w:val="99"/>
    <w:rsid w:val="00E75664"/>
    <w:rPr>
      <w:rFonts w:ascii="細明體" w:eastAsia="細明體" w:hAnsi="Courier New" w:cs="Times New Roman"/>
      <w:szCs w:val="20"/>
    </w:rPr>
  </w:style>
  <w:style w:type="paragraph" w:customStyle="1" w:styleId="aa">
    <w:name w:val="第二層 字元 字元"/>
    <w:basedOn w:val="2"/>
    <w:link w:val="ab"/>
    <w:rsid w:val="00E75664"/>
    <w:pPr>
      <w:spacing w:line="340" w:lineRule="exact"/>
      <w:ind w:left="215" w:hanging="215"/>
      <w:jc w:val="both"/>
    </w:pPr>
    <w:rPr>
      <w:rFonts w:ascii="標楷體" w:eastAsia="標楷體" w:hAnsi="標楷體" w:cs="Times New Roman"/>
      <w:sz w:val="28"/>
      <w:szCs w:val="28"/>
    </w:rPr>
  </w:style>
  <w:style w:type="character" w:customStyle="1" w:styleId="ab">
    <w:name w:val="第二層 字元 字元 字元"/>
    <w:link w:val="aa"/>
    <w:rsid w:val="00E75664"/>
    <w:rPr>
      <w:rFonts w:ascii="標楷體" w:eastAsia="標楷體" w:hAnsi="標楷體" w:cs="Times New Roman"/>
      <w:b/>
      <w:bCs/>
      <w:sz w:val="28"/>
      <w:szCs w:val="28"/>
    </w:rPr>
  </w:style>
  <w:style w:type="character" w:customStyle="1" w:styleId="20">
    <w:name w:val="標題 2 字元"/>
    <w:basedOn w:val="a1"/>
    <w:link w:val="2"/>
    <w:uiPriority w:val="9"/>
    <w:semiHidden/>
    <w:rsid w:val="00E75664"/>
    <w:rPr>
      <w:rFonts w:asciiTheme="majorHAnsi" w:eastAsiaTheme="majorEastAsia" w:hAnsiTheme="majorHAnsi" w:cstheme="majorBidi"/>
      <w:b/>
      <w:bCs/>
      <w:sz w:val="48"/>
      <w:szCs w:val="48"/>
    </w:rPr>
  </w:style>
  <w:style w:type="paragraph" w:customStyle="1" w:styleId="ac">
    <w:name w:val="(一)"/>
    <w:basedOn w:val="a0"/>
    <w:rsid w:val="00E75664"/>
    <w:pPr>
      <w:spacing w:line="340" w:lineRule="exact"/>
      <w:ind w:left="220" w:hangingChars="100" w:hanging="220"/>
      <w:jc w:val="both"/>
    </w:pPr>
    <w:rPr>
      <w:rFonts w:ascii="標楷體" w:eastAsia="標楷體" w:hAnsi="標楷體" w:cs="Times New Roman"/>
      <w:sz w:val="22"/>
    </w:rPr>
  </w:style>
  <w:style w:type="paragraph" w:customStyle="1" w:styleId="a">
    <w:name w:val="說明條列"/>
    <w:basedOn w:val="a0"/>
    <w:rsid w:val="00E75664"/>
    <w:pPr>
      <w:numPr>
        <w:numId w:val="1"/>
      </w:numPr>
      <w:spacing w:line="480" w:lineRule="exact"/>
      <w:jc w:val="both"/>
    </w:pPr>
    <w:rPr>
      <w:rFonts w:ascii="標楷體" w:eastAsia="標楷體" w:hAnsi="Times New Roman" w:cs="Times New Roman"/>
      <w:sz w:val="30"/>
      <w:szCs w:val="20"/>
    </w:rPr>
  </w:style>
  <w:style w:type="paragraph" w:styleId="ad">
    <w:name w:val="List Paragraph"/>
    <w:basedOn w:val="a0"/>
    <w:uiPriority w:val="34"/>
    <w:qFormat/>
    <w:rsid w:val="0017741F"/>
    <w:pPr>
      <w:ind w:leftChars="200" w:left="480"/>
    </w:pPr>
    <w:rPr>
      <w:rFonts w:ascii="Calibri" w:eastAsia="新細明體" w:hAnsi="Calibri" w:cs="Times New Roman"/>
    </w:rPr>
  </w:style>
  <w:style w:type="paragraph" w:styleId="ae">
    <w:name w:val="Balloon Text"/>
    <w:basedOn w:val="a0"/>
    <w:link w:val="af"/>
    <w:uiPriority w:val="99"/>
    <w:semiHidden/>
    <w:unhideWhenUsed/>
    <w:rsid w:val="00BE2F9E"/>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BE2F9E"/>
    <w:rPr>
      <w:rFonts w:asciiTheme="majorHAnsi" w:eastAsiaTheme="majorEastAsia" w:hAnsiTheme="majorHAnsi" w:cstheme="majorBidi"/>
      <w:sz w:val="18"/>
      <w:szCs w:val="18"/>
    </w:rPr>
  </w:style>
  <w:style w:type="character" w:styleId="af0">
    <w:name w:val="Placeholder Text"/>
    <w:basedOn w:val="a1"/>
    <w:uiPriority w:val="99"/>
    <w:semiHidden/>
    <w:rsid w:val="00AF182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2">
    <w:name w:val="heading 2"/>
    <w:basedOn w:val="a0"/>
    <w:next w:val="a0"/>
    <w:link w:val="20"/>
    <w:uiPriority w:val="9"/>
    <w:semiHidden/>
    <w:unhideWhenUsed/>
    <w:qFormat/>
    <w:rsid w:val="00E75664"/>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75664"/>
    <w:pPr>
      <w:tabs>
        <w:tab w:val="center" w:pos="4153"/>
        <w:tab w:val="right" w:pos="8306"/>
      </w:tabs>
      <w:snapToGrid w:val="0"/>
    </w:pPr>
    <w:rPr>
      <w:sz w:val="20"/>
      <w:szCs w:val="20"/>
    </w:rPr>
  </w:style>
  <w:style w:type="character" w:customStyle="1" w:styleId="a5">
    <w:name w:val="頁首 字元"/>
    <w:basedOn w:val="a1"/>
    <w:link w:val="a4"/>
    <w:uiPriority w:val="99"/>
    <w:rsid w:val="00E75664"/>
    <w:rPr>
      <w:sz w:val="20"/>
      <w:szCs w:val="20"/>
    </w:rPr>
  </w:style>
  <w:style w:type="paragraph" w:styleId="a6">
    <w:name w:val="footer"/>
    <w:basedOn w:val="a0"/>
    <w:link w:val="a7"/>
    <w:uiPriority w:val="99"/>
    <w:unhideWhenUsed/>
    <w:rsid w:val="00E75664"/>
    <w:pPr>
      <w:tabs>
        <w:tab w:val="center" w:pos="4153"/>
        <w:tab w:val="right" w:pos="8306"/>
      </w:tabs>
      <w:snapToGrid w:val="0"/>
    </w:pPr>
    <w:rPr>
      <w:sz w:val="20"/>
      <w:szCs w:val="20"/>
    </w:rPr>
  </w:style>
  <w:style w:type="character" w:customStyle="1" w:styleId="a7">
    <w:name w:val="頁尾 字元"/>
    <w:basedOn w:val="a1"/>
    <w:link w:val="a6"/>
    <w:uiPriority w:val="99"/>
    <w:rsid w:val="00E75664"/>
    <w:rPr>
      <w:sz w:val="20"/>
      <w:szCs w:val="20"/>
    </w:rPr>
  </w:style>
  <w:style w:type="paragraph" w:styleId="a8">
    <w:name w:val="Plain Text"/>
    <w:basedOn w:val="a0"/>
    <w:link w:val="a9"/>
    <w:uiPriority w:val="99"/>
    <w:rsid w:val="00E75664"/>
    <w:rPr>
      <w:rFonts w:ascii="細明體" w:eastAsia="細明體" w:hAnsi="Courier New" w:cs="Times New Roman"/>
      <w:szCs w:val="20"/>
    </w:rPr>
  </w:style>
  <w:style w:type="character" w:customStyle="1" w:styleId="a9">
    <w:name w:val="純文字 字元"/>
    <w:basedOn w:val="a1"/>
    <w:link w:val="a8"/>
    <w:uiPriority w:val="99"/>
    <w:rsid w:val="00E75664"/>
    <w:rPr>
      <w:rFonts w:ascii="細明體" w:eastAsia="細明體" w:hAnsi="Courier New" w:cs="Times New Roman"/>
      <w:szCs w:val="20"/>
    </w:rPr>
  </w:style>
  <w:style w:type="paragraph" w:customStyle="1" w:styleId="aa">
    <w:name w:val="第二層 字元 字元"/>
    <w:basedOn w:val="2"/>
    <w:link w:val="ab"/>
    <w:rsid w:val="00E75664"/>
    <w:pPr>
      <w:spacing w:line="340" w:lineRule="exact"/>
      <w:ind w:left="215" w:hanging="215"/>
      <w:jc w:val="both"/>
    </w:pPr>
    <w:rPr>
      <w:rFonts w:ascii="標楷體" w:eastAsia="標楷體" w:hAnsi="標楷體" w:cs="Times New Roman"/>
      <w:sz w:val="28"/>
      <w:szCs w:val="28"/>
    </w:rPr>
  </w:style>
  <w:style w:type="character" w:customStyle="1" w:styleId="ab">
    <w:name w:val="第二層 字元 字元 字元"/>
    <w:link w:val="aa"/>
    <w:rsid w:val="00E75664"/>
    <w:rPr>
      <w:rFonts w:ascii="標楷體" w:eastAsia="標楷體" w:hAnsi="標楷體" w:cs="Times New Roman"/>
      <w:b/>
      <w:bCs/>
      <w:sz w:val="28"/>
      <w:szCs w:val="28"/>
    </w:rPr>
  </w:style>
  <w:style w:type="character" w:customStyle="1" w:styleId="20">
    <w:name w:val="標題 2 字元"/>
    <w:basedOn w:val="a1"/>
    <w:link w:val="2"/>
    <w:uiPriority w:val="9"/>
    <w:semiHidden/>
    <w:rsid w:val="00E75664"/>
    <w:rPr>
      <w:rFonts w:asciiTheme="majorHAnsi" w:eastAsiaTheme="majorEastAsia" w:hAnsiTheme="majorHAnsi" w:cstheme="majorBidi"/>
      <w:b/>
      <w:bCs/>
      <w:sz w:val="48"/>
      <w:szCs w:val="48"/>
    </w:rPr>
  </w:style>
  <w:style w:type="paragraph" w:customStyle="1" w:styleId="ac">
    <w:name w:val="(一)"/>
    <w:basedOn w:val="a0"/>
    <w:rsid w:val="00E75664"/>
    <w:pPr>
      <w:spacing w:line="340" w:lineRule="exact"/>
      <w:ind w:left="220" w:hangingChars="100" w:hanging="220"/>
      <w:jc w:val="both"/>
    </w:pPr>
    <w:rPr>
      <w:rFonts w:ascii="標楷體" w:eastAsia="標楷體" w:hAnsi="標楷體" w:cs="Times New Roman"/>
      <w:sz w:val="22"/>
    </w:rPr>
  </w:style>
  <w:style w:type="paragraph" w:customStyle="1" w:styleId="a">
    <w:name w:val="說明條列"/>
    <w:basedOn w:val="a0"/>
    <w:rsid w:val="00E75664"/>
    <w:pPr>
      <w:numPr>
        <w:numId w:val="1"/>
      </w:numPr>
      <w:spacing w:line="480" w:lineRule="exact"/>
      <w:jc w:val="both"/>
    </w:pPr>
    <w:rPr>
      <w:rFonts w:ascii="標楷體" w:eastAsia="標楷體" w:hAnsi="Times New Roman" w:cs="Times New Roman"/>
      <w:sz w:val="30"/>
      <w:szCs w:val="20"/>
    </w:rPr>
  </w:style>
  <w:style w:type="paragraph" w:styleId="ad">
    <w:name w:val="List Paragraph"/>
    <w:basedOn w:val="a0"/>
    <w:uiPriority w:val="34"/>
    <w:qFormat/>
    <w:rsid w:val="0017741F"/>
    <w:pPr>
      <w:ind w:leftChars="200" w:left="480"/>
    </w:pPr>
    <w:rPr>
      <w:rFonts w:ascii="Calibri" w:eastAsia="新細明體" w:hAnsi="Calibri" w:cs="Times New Roman"/>
    </w:rPr>
  </w:style>
  <w:style w:type="paragraph" w:styleId="ae">
    <w:name w:val="Balloon Text"/>
    <w:basedOn w:val="a0"/>
    <w:link w:val="af"/>
    <w:uiPriority w:val="99"/>
    <w:semiHidden/>
    <w:unhideWhenUsed/>
    <w:rsid w:val="00BE2F9E"/>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BE2F9E"/>
    <w:rPr>
      <w:rFonts w:asciiTheme="majorHAnsi" w:eastAsiaTheme="majorEastAsia" w:hAnsiTheme="majorHAnsi" w:cstheme="majorBidi"/>
      <w:sz w:val="18"/>
      <w:szCs w:val="18"/>
    </w:rPr>
  </w:style>
  <w:style w:type="character" w:styleId="af0">
    <w:name w:val="Placeholder Text"/>
    <w:basedOn w:val="a1"/>
    <w:uiPriority w:val="99"/>
    <w:semiHidden/>
    <w:rsid w:val="00AF18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74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8B3A4-230A-48A8-A2D5-A14EE4649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988</Words>
  <Characters>5632</Characters>
  <Application>Microsoft Office Word</Application>
  <DocSecurity>0</DocSecurity>
  <Lines>46</Lines>
  <Paragraphs>13</Paragraphs>
  <ScaleCrop>false</ScaleCrop>
  <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郭憲宇</dc:creator>
  <cp:lastModifiedBy>user</cp:lastModifiedBy>
  <cp:revision>2</cp:revision>
  <cp:lastPrinted>2015-07-23T02:00:00Z</cp:lastPrinted>
  <dcterms:created xsi:type="dcterms:W3CDTF">2015-09-10T01:26:00Z</dcterms:created>
  <dcterms:modified xsi:type="dcterms:W3CDTF">2015-09-10T01:26:00Z</dcterms:modified>
</cp:coreProperties>
</file>